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600"/>
      </w:pPr>
      <w:r>
        <w:t xml:space="preserve"/>
      </w:r>
    </w:p>
    <w:p>
      <w:pPr>
        <w:spacing w:after="60" w:before="0"/>
        <w:jc w:val="center"/>
      </w:pPr>
      <w:r>
        <w:rPr>
          <w:rFonts w:ascii="Arial" w:cs="Arial" w:eastAsia="Arial" w:hAnsi="Arial"/>
          <w:b/>
          <w:bCs/>
          <w:color w:val="888888"/>
          <w:sz w:val="28"/>
          <w:szCs w:val="28"/>
        </w:rPr>
        <w:t xml:space="preserve">PROJECT BRIEFING</w:t>
      </w:r>
    </w:p>
    <w:p>
      <w:pPr>
        <w:spacing w:after="80" w:before="0"/>
        <w:jc w:val="center"/>
      </w:pPr>
      <w:r>
        <w:rPr>
          <w:rFonts w:ascii="Arial" w:cs="Arial" w:eastAsia="Arial" w:hAnsi="Arial"/>
          <w:b/>
          <w:bCs/>
          <w:color w:val="1B3A5C"/>
          <w:sz w:val="72"/>
          <w:szCs w:val="72"/>
        </w:rPr>
        <w:t xml:space="preserve">MSRU · MPPU · MPPU-N</w:t>
      </w:r>
    </w:p>
    <w:p>
      <w:pPr>
        <w:spacing w:after="200" w:before="0"/>
        <w:jc w:val="center"/>
      </w:pPr>
      <w:r>
        <w:rPr>
          <w:rFonts w:ascii="Arial" w:cs="Arial" w:eastAsia="Arial" w:hAnsi="Arial"/>
          <w:b/>
          <w:bCs/>
          <w:color w:val="0F6E56"/>
          <w:sz w:val="30"/>
          <w:szCs w:val="30"/>
        </w:rPr>
        <w:t xml:space="preserve">From Waste to Power · From Weapons to Watts · From Extraction to Community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EBF8" w:val="clear"/>
            <w:tcMar>
              <w:top w:type="dxa" w:w="200"/>
              <w:left w:type="dxa" w:w="280"/>
              <w:bottom w:type="dxa" w:w="200"/>
              <w:right w:type="dxa" w:w="280"/>
            </w:tcMar>
          </w:tcPr>
          <w:p>
            <w:r>
              <w:rPr>
                <w:rFonts w:ascii="Arial" w:cs="Arial" w:eastAsia="Arial" w:hAnsi="Arial"/>
                <w:b/>
                <w:bCs/>
                <w:i/>
                <w:iCs/>
                <w:color w:val="1B3A5C"/>
                <w:sz w:val="26"/>
                <w:szCs w:val="26"/>
              </w:rPr>
              <w:t xml:space="preserve">“Inanimate objects of war — repurposed to serve the people.
Not people repurposed to serve the system.”</w:t>
            </w:r>
          </w:p>
        </w:tc>
      </w:tr>
    </w:tbl>
    <w:p>
      <w:pPr>
        <w:spacing w:after="0" w:before="240"/>
      </w:pPr>
      <w:r>
        <w:t xml:space="preserve"/>
      </w:r>
    </w:p>
    <w:p>
      <w:pPr>
        <w:jc w:val="center"/>
      </w:pPr>
      <w:r>
        <w:rPr>
          <w:rFonts w:ascii="Arial" w:cs="Arial" w:eastAsia="Arial" w:hAnsi="Arial"/>
          <w:color w:val="555555"/>
          <w:sz w:val="22"/>
          <w:szCs w:val="22"/>
        </w:rPr>
        <w:t xml:space="preserve">Concept by David Joseph Moylan  ·  North Liverpool, England  ·  May 2026</w:t>
      </w:r>
    </w:p>
    <w:p>
      <w:pPr>
        <w:spacing w:before="60"/>
        <w:jc w:val="center"/>
      </w:pPr>
      <w:r>
        <w:rPr>
          <w:rFonts w:ascii="Arial" w:cs="Arial" w:eastAsia="Arial" w:hAnsi="Arial"/>
          <w:i/>
          <w:iCs/>
          <w:color w:val="777777"/>
          <w:sz w:val="20"/>
          <w:szCs w:val="20"/>
        </w:rPr>
        <w:t xml:space="preserve">Building on the Megatons to Megawatts legacy — scaled to community energy independence</w:t>
      </w:r>
    </w:p>
    <w:p>
      <w:r>
        <w:br w:type="page"/>
      </w:r>
    </w:p>
    <w:p>
      <w:pPr>
        <w:pStyle w:val="Heading1"/>
        <w:spacing w:after="160" w:before="400"/>
      </w:pPr>
      <w:r>
        <w:rPr>
          <w:rFonts w:ascii="Arial" w:cs="Arial" w:eastAsia="Arial" w:hAnsi="Arial"/>
          <w:b/>
          <w:bCs/>
          <w:color w:val="1B3A5C"/>
          <w:sz w:val="40"/>
          <w:szCs w:val="40"/>
        </w:rPr>
        <w:t xml:space="preserve">Part One: The Problem</w:t>
      </w:r>
    </w:p>
    <w:p>
      <w:pPr>
        <w:pBdr>
          <w:bottom w:val="single" w:color="1B3A5C" w:sz="6" w:space="1"/>
        </w:pBdr>
        <w:spacing w:after="200" w:before="200"/>
      </w:pPr>
      <w:r>
        <w:t xml:space="preserve"/>
      </w:r>
    </w:p>
    <w:p>
      <w:pPr>
        <w:pStyle w:val="Heading2"/>
        <w:spacing w:after="120" w:before="280"/>
      </w:pPr>
      <w:r>
        <w:rPr>
          <w:rFonts w:ascii="Arial" w:cs="Arial" w:eastAsia="Arial" w:hAnsi="Arial"/>
          <w:b/>
          <w:bCs/>
          <w:color w:val="0F6E56"/>
          <w:sz w:val="30"/>
          <w:szCs w:val="30"/>
        </w:rPr>
        <w:t xml:space="preserve">Two crises. One system. One solution.</w:t>
      </w:r>
    </w:p>
    <w:p>
      <w:pPr>
        <w:spacing w:after="80" w:before="80"/>
      </w:pPr>
      <w:r>
        <w:rPr>
          <w:rFonts w:ascii="Arial" w:cs="Arial" w:eastAsia="Arial" w:hAnsi="Arial"/>
          <w:color w:val="222222"/>
          <w:sz w:val="22"/>
          <w:szCs w:val="22"/>
        </w:rPr>
        <w:t xml:space="preserve">Communities across Britain and the world are caught between two systems that extract from them rather than serve them. The first is the energy system: power generated far away, revenues flowing to distant shareholders, bills arriving at the doors of people who had no say in any of it. The second is the weapons system: arsenals maintained at enormous public cost, representing the most concentrated destructive power in human history, sitting in storage doing nothing useful while the communities most at risk from them cannot heat their homes.</w:t>
      </w:r>
    </w:p>
    <w:p>
      <w:pPr>
        <w:spacing w:after="80" w:before="80"/>
      </w:pPr>
      <w:r>
        <w:rPr>
          <w:rFonts w:ascii="Arial" w:cs="Arial" w:eastAsia="Arial" w:hAnsi="Arial"/>
          <w:color w:val="222222"/>
          <w:sz w:val="22"/>
          <w:szCs w:val="22"/>
        </w:rPr>
        <w:t xml:space="preserve">These are not separate problems. They are the same problem, expressed in two different domains. Both represent the conversion of public resources into instruments that serve systems rather than people. Both can be addressed by the same principle: redirect the resource. Keep the value local. Return the power — in every sense — to the community.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4F8" w:val="clear"/>
            <w:tcMar>
              <w:top w:type="dxa" w:w="200"/>
              <w:left w:type="dxa" w:w="280"/>
              <w:bottom w:type="dxa" w:w="200"/>
              <w:right w:type="dxa" w:w="280"/>
            </w:tcMar>
          </w:tcPr>
          <w:p>
            <w:r>
              <w:rPr>
                <w:rFonts w:ascii="Arial" w:cs="Arial" w:eastAsia="Arial" w:hAnsi="Arial"/>
                <w:b/>
                <w:bCs/>
                <w:i/>
                <w:iCs/>
                <w:color w:val="1B3A5C"/>
                <w:sz w:val="26"/>
                <w:szCs w:val="26"/>
              </w:rPr>
              <w:t xml:space="preserve">The warhead and the energy bill are products of the same logic: resources extracted from communities, controlled by systems, returning nothing to the people who bear the cost.</w:t>
            </w:r>
          </w:p>
        </w:tc>
      </w:tr>
    </w:tbl>
    <w:p>
      <w:pPr>
        <w:spacing w:after="0" w:before="120"/>
      </w:pPr>
      <w:r>
        <w:t xml:space="preserve"/>
      </w:r>
    </w:p>
    <w:p>
      <w:pPr>
        <w:pStyle w:val="Heading2"/>
        <w:spacing w:after="120" w:before="280"/>
      </w:pPr>
      <w:r>
        <w:rPr>
          <w:rFonts w:ascii="Arial" w:cs="Arial" w:eastAsia="Arial" w:hAnsi="Arial"/>
          <w:b/>
          <w:bCs/>
          <w:color w:val="0F6E56"/>
          <w:sz w:val="30"/>
          <w:szCs w:val="30"/>
        </w:rPr>
        <w:t xml:space="preserve">The energy poverty reality</w:t>
      </w:r>
    </w:p>
    <w:p>
      <w:pPr>
        <w:spacing w:after="80" w:before="80"/>
      </w:pPr>
      <w:r>
        <w:rPr>
          <w:rFonts w:ascii="Arial" w:cs="Arial" w:eastAsia="Arial" w:hAnsi="Arial"/>
          <w:color w:val="222222"/>
          <w:sz w:val="22"/>
          <w:szCs w:val="22"/>
        </w:rPr>
        <w:t xml:space="preserve">Millions of households in the United Kingdom live in energy poverty — unable to adequately heat their homes, forced to choose between warmth and food, paying a disproportionate share of their income for a service they have no control over. This is not an accident of geography or personal circumstance. It is the structural outcome of a centralised energy system designed to generate returns for investors rather than affordable power for residents.</w:t>
      </w:r>
    </w:p>
    <w:p>
      <w:pPr>
        <w:spacing w:after="80" w:before="80"/>
      </w:pPr>
      <w:r>
        <w:rPr>
          <w:rFonts w:ascii="Arial" w:cs="Arial" w:eastAsia="Arial" w:hAnsi="Arial"/>
          <w:color w:val="222222"/>
          <w:sz w:val="22"/>
          <w:szCs w:val="22"/>
        </w:rPr>
        <w:t xml:space="preserve">Communities in places like North Liverpool have been at the end of long transmission lines for generations — paying for power generated elsewhere, watching revenues leave, receiving nothing in return. The infrastructure was built to serve the grid, not the community. The bills arrive. The dividends do not.</w:t>
      </w:r>
    </w:p>
    <w:p>
      <w:pPr>
        <w:spacing w:after="0" w:before="80"/>
      </w:pPr>
      <w:r>
        <w:t xml:space="preserve"/>
      </w:r>
    </w:p>
    <w:p>
      <w:pPr>
        <w:pStyle w:val="Heading2"/>
        <w:spacing w:after="120" w:before="280"/>
      </w:pPr>
      <w:r>
        <w:rPr>
          <w:rFonts w:ascii="Arial" w:cs="Arial" w:eastAsia="Arial" w:hAnsi="Arial"/>
          <w:b/>
          <w:bCs/>
          <w:color w:val="0F6E56"/>
          <w:sz w:val="30"/>
          <w:szCs w:val="30"/>
        </w:rPr>
        <w:t xml:space="preserve">The weapons surplus reality</w:t>
      </w:r>
    </w:p>
    <w:p>
      <w:pPr>
        <w:spacing w:after="80" w:before="80"/>
      </w:pPr>
      <w:r>
        <w:rPr>
          <w:rFonts w:ascii="Arial" w:cs="Arial" w:eastAsia="Arial" w:hAnsi="Arial"/>
          <w:color w:val="222222"/>
          <w:sz w:val="22"/>
          <w:szCs w:val="22"/>
        </w:rPr>
        <w:t xml:space="preserve">The world currently holds approximately 12,000 nuclear warheads. Thousands more are scheduled for decommissioning under international arms reduction treaties. Each warhead contains kilograms of Highly Enriched Uranium or Plutonium — material that is simultaneously the most dangerous substance humanity has ever produced and one of the most energy-dense fuels ever discovered.</w:t>
      </w:r>
    </w:p>
    <w:p>
      <w:pPr>
        <w:spacing w:after="80" w:before="80"/>
      </w:pPr>
      <w:r>
        <w:rPr>
          <w:rFonts w:ascii="Arial" w:cs="Arial" w:eastAsia="Arial" w:hAnsi="Arial"/>
          <w:color w:val="222222"/>
          <w:sz w:val="22"/>
          <w:szCs w:val="22"/>
        </w:rPr>
        <w:t xml:space="preserve">This material currently sits in storage at enormous ongoing cost. It represents a perpetual security liability, a diplomatic burden, and a colossal waste of energy potential. The Megatons to Megawatts programme, which ran from 1993 to 2013, proved that the conversion pathway works: 500 metric tonnes of Russian weapons-grade uranium was downblended and used to generate roughly 10% of all electricity in the United States for two decades. The warhead became the fuel. The proof of concept exists.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The Current Situation</w:t>
            </w:r>
          </w:p>
        </w:tc>
        <w:tc>
          <w:tcPr>
            <w:tcW w:type="dxa" w:w="468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The MSRU / MPPU / MPPU-N Vision</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Communities pay for energy generated elsewhere</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Communities generate their own power from local resources</w:t>
            </w:r>
          </w:p>
        </w:tc>
      </w:tr>
      <w:tr>
        <w:tc>
          <w:tcPr>
            <w:tcW w:type="dxa" w:w="46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Energy revenues leave communities</w:t>
            </w:r>
          </w:p>
        </w:tc>
        <w:tc>
          <w:tcPr>
            <w:tcW w:type="dxa" w:w="46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Energy revenues stay and circulate locally</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Waste is a disposal cost</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Waste is a fuel feedstock</w:t>
            </w:r>
          </w:p>
        </w:tc>
      </w:tr>
      <w:tr>
        <w:tc>
          <w:tcPr>
            <w:tcW w:type="dxa" w:w="46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Weapons sit in storage at public expense</w:t>
            </w:r>
          </w:p>
        </w:tc>
        <w:tc>
          <w:tcPr>
            <w:tcW w:type="dxa" w:w="46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Weapons are downblended into community fuel</w:t>
            </w:r>
          </w:p>
        </w:tc>
      </w:tr>
      <w:tr>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Nuclear material = perpetual security threat</w:t>
            </w:r>
          </w:p>
        </w:tc>
        <w:tc>
          <w:tcPr>
            <w:tcW w:type="dxa" w:w="4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Nuclear material = decades of clean baseload power</w:t>
            </w:r>
          </w:p>
        </w:tc>
      </w:tr>
      <w:tr>
        <w:tc>
          <w:tcPr>
            <w:tcW w:type="dxa" w:w="46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People serve the system</w:t>
            </w:r>
          </w:p>
        </w:tc>
        <w:tc>
          <w:tcPr>
            <w:tcW w:type="dxa" w:w="46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The system serves the people</w:t>
            </w:r>
          </w:p>
        </w:tc>
      </w:tr>
    </w:tbl>
    <w:p>
      <w:r>
        <w:br w:type="page"/>
      </w:r>
    </w:p>
    <w:p>
      <w:pPr>
        <w:pStyle w:val="Heading1"/>
        <w:spacing w:after="160" w:before="400"/>
      </w:pPr>
      <w:r>
        <w:rPr>
          <w:rFonts w:ascii="Arial" w:cs="Arial" w:eastAsia="Arial" w:hAnsi="Arial"/>
          <w:b/>
          <w:bCs/>
          <w:color w:val="1B3A5C"/>
          <w:sz w:val="40"/>
          <w:szCs w:val="40"/>
        </w:rPr>
        <w:t xml:space="preserve">Part Two: The MSRU</w:t>
      </w:r>
    </w:p>
    <w:p>
      <w:pPr>
        <w:pBdr>
          <w:bottom w:val="single" w:color="1B3A5C" w:sz="6" w:space="1"/>
        </w:pBdr>
        <w:spacing w:after="200" w:before="200"/>
      </w:pPr>
      <w:r>
        <w:t xml:space="preserve"/>
      </w:r>
    </w:p>
    <w:p>
      <w:pPr>
        <w:pStyle w:val="Heading2"/>
        <w:spacing w:after="120" w:before="280"/>
      </w:pPr>
      <w:r>
        <w:rPr>
          <w:rFonts w:ascii="Arial" w:cs="Arial" w:eastAsia="Arial" w:hAnsi="Arial"/>
          <w:b/>
          <w:bCs/>
          <w:color w:val="0F6E56"/>
          <w:sz w:val="30"/>
          <w:szCs w:val="30"/>
        </w:rPr>
        <w:t xml:space="preserve">Mobile Salvage and Recycling Unit</w:t>
      </w:r>
    </w:p>
    <w:p>
      <w:pPr>
        <w:spacing w:after="80" w:before="80"/>
      </w:pPr>
      <w:r>
        <w:rPr>
          <w:rFonts w:ascii="Arial" w:cs="Arial" w:eastAsia="Arial" w:hAnsi="Arial"/>
          <w:color w:val="222222"/>
          <w:sz w:val="22"/>
          <w:szCs w:val="22"/>
        </w:rPr>
        <w:t xml:space="preserve">The MSRU is where the project begins. Before energy can be generated from local waste, the waste must be collected, sorted, and processed. The MSRU is the community-operated mobile infrastructure that makes this possible — arriving where the resources are, processing them on site, and feeding useful material streams into the MPPU energy system downstream.</w:t>
      </w:r>
    </w:p>
    <w:p>
      <w:pPr>
        <w:spacing w:after="0" w:before="60"/>
      </w:pPr>
      <w:r>
        <w:t xml:space="preserve"/>
      </w:r>
    </w:p>
    <w:p>
      <w:pPr>
        <w:spacing w:after="80" w:before="200"/>
      </w:pPr>
      <w:r>
        <w:rPr>
          <w:rFonts w:ascii="Arial" w:cs="Arial" w:eastAsia="Arial" w:hAnsi="Arial"/>
          <w:b/>
          <w:bCs/>
          <w:color w:val="2E4057"/>
          <w:sz w:val="24"/>
          <w:szCs w:val="24"/>
        </w:rPr>
        <w:t xml:space="preserve">What the MSRU does</w:t>
      </w:r>
    </w:p>
    <w:p>
      <w:pPr>
        <w:pStyle w:val="ListParagraph"/>
        <w:numPr>
          <w:ilvl w:val="0"/>
          <w:numId w:val="2"/>
        </w:numPr>
        <w:spacing w:after="60" w:before="60"/>
      </w:pPr>
      <w:r>
        <w:rPr>
          <w:rFonts w:ascii="Arial" w:cs="Arial" w:eastAsia="Arial" w:hAnsi="Arial"/>
          <w:color w:val="222222"/>
          <w:sz w:val="22"/>
          <w:szCs w:val="22"/>
        </w:rPr>
        <w:t xml:space="preserve">Deploys to community locations along The Line corridor in North Liverpool</w:t>
      </w:r>
    </w:p>
    <w:p>
      <w:pPr>
        <w:pStyle w:val="ListParagraph"/>
        <w:numPr>
          <w:ilvl w:val="0"/>
          <w:numId w:val="2"/>
        </w:numPr>
        <w:spacing w:after="60" w:before="60"/>
      </w:pPr>
      <w:r>
        <w:rPr>
          <w:rFonts w:ascii="Arial" w:cs="Arial" w:eastAsia="Arial" w:hAnsi="Arial"/>
          <w:color w:val="222222"/>
          <w:sz w:val="22"/>
          <w:szCs w:val="22"/>
        </w:rPr>
        <w:t xml:space="preserve">Collects and processes wood waste, textiles, metals, food waste, green waste, and used cooking oil</w:t>
      </w:r>
    </w:p>
    <w:p>
      <w:pPr>
        <w:pStyle w:val="ListParagraph"/>
        <w:numPr>
          <w:ilvl w:val="0"/>
          <w:numId w:val="2"/>
        </w:numPr>
        <w:spacing w:after="60" w:before="60"/>
      </w:pPr>
      <w:r>
        <w:rPr>
          <w:rFonts w:ascii="Arial" w:cs="Arial" w:eastAsia="Arial" w:hAnsi="Arial"/>
          <w:color w:val="222222"/>
          <w:sz w:val="22"/>
          <w:szCs w:val="22"/>
        </w:rPr>
        <w:t xml:space="preserve">Sorts materials into recycling commodity streams and energy feedstock streams</w:t>
      </w:r>
    </w:p>
    <w:p>
      <w:pPr>
        <w:pStyle w:val="ListParagraph"/>
        <w:numPr>
          <w:ilvl w:val="0"/>
          <w:numId w:val="2"/>
        </w:numPr>
        <w:spacing w:after="60" w:before="60"/>
      </w:pPr>
      <w:r>
        <w:rPr>
          <w:rFonts w:ascii="Arial" w:cs="Arial" w:eastAsia="Arial" w:hAnsi="Arial"/>
          <w:color w:val="222222"/>
          <w:sz w:val="22"/>
          <w:szCs w:val="22"/>
        </w:rPr>
        <w:t xml:space="preserve">Operates as a community-owned and community-staffed enterprise</w:t>
      </w:r>
    </w:p>
    <w:p>
      <w:pPr>
        <w:pStyle w:val="ListParagraph"/>
        <w:numPr>
          <w:ilvl w:val="0"/>
          <w:numId w:val="2"/>
        </w:numPr>
        <w:spacing w:after="60" w:before="60"/>
      </w:pPr>
      <w:r>
        <w:rPr>
          <w:rFonts w:ascii="Arial" w:cs="Arial" w:eastAsia="Arial" w:hAnsi="Arial"/>
          <w:color w:val="222222"/>
          <w:sz w:val="22"/>
          <w:szCs w:val="22"/>
        </w:rPr>
        <w:t xml:space="preserve">Creates direct employment for local people in skilled waste processing and logistics roles</w:t>
      </w:r>
    </w:p>
    <w:p>
      <w:pPr>
        <w:pStyle w:val="ListParagraph"/>
        <w:numPr>
          <w:ilvl w:val="0"/>
          <w:numId w:val="2"/>
        </w:numPr>
        <w:spacing w:after="60" w:before="60"/>
      </w:pPr>
      <w:r>
        <w:rPr>
          <w:rFonts w:ascii="Arial" w:cs="Arial" w:eastAsia="Arial" w:hAnsi="Arial"/>
          <w:color w:val="222222"/>
          <w:sz w:val="22"/>
          <w:szCs w:val="22"/>
        </w:rPr>
        <w:t xml:space="preserve">Generates revenue from recycled commodity sales and gate fees</w:t>
      </w:r>
    </w:p>
    <w:p>
      <w:pPr>
        <w:pStyle w:val="ListParagraph"/>
        <w:numPr>
          <w:ilvl w:val="0"/>
          <w:numId w:val="2"/>
        </w:numPr>
        <w:spacing w:after="60" w:before="60"/>
      </w:pPr>
      <w:r>
        <w:rPr>
          <w:rFonts w:ascii="Arial" w:cs="Arial" w:eastAsia="Arial" w:hAnsi="Arial"/>
          <w:color w:val="222222"/>
          <w:sz w:val="22"/>
          <w:szCs w:val="22"/>
        </w:rPr>
        <w:t xml:space="preserve">Feeds all non-recyclable organic material to the MPPU as fuel feedstock</w:t>
      </w:r>
    </w:p>
    <w:p>
      <w:pPr>
        <w:spacing w:after="0" w:before="80"/>
      </w:pPr>
      <w:r>
        <w:t xml:space="preserve"/>
      </w:r>
    </w:p>
    <w:p>
      <w:pPr>
        <w:spacing w:after="80" w:before="200"/>
      </w:pPr>
      <w:r>
        <w:rPr>
          <w:rFonts w:ascii="Arial" w:cs="Arial" w:eastAsia="Arial" w:hAnsi="Arial"/>
          <w:b/>
          <w:bCs/>
          <w:color w:val="2E4057"/>
          <w:sz w:val="24"/>
          <w:szCs w:val="24"/>
        </w:rPr>
        <w:t xml:space="preserve">The Line corridor</w:t>
      </w:r>
    </w:p>
    <w:p>
      <w:pPr>
        <w:spacing w:after="80" w:before="80"/>
      </w:pPr>
      <w:r>
        <w:rPr>
          <w:rFonts w:ascii="Arial" w:cs="Arial" w:eastAsia="Arial" w:hAnsi="Arial"/>
          <w:color w:val="222222"/>
          <w:sz w:val="22"/>
          <w:szCs w:val="22"/>
        </w:rPr>
        <w:t xml:space="preserve">The Line is a former railway corridor running through North Liverpool — a stretch of land that has served as an informal dumping ground for years. The MSRU vision begins here: not with demolition or displacement, but with conversion. The corridor becomes an asset. The dumping ground becomes a resource stream. The waste becomes the raw material for everything that follows.</w:t>
      </w:r>
    </w:p>
    <w:p>
      <w:pPr>
        <w:spacing w:after="0" w:before="80"/>
      </w:pPr>
      <w:r>
        <w:t xml:space="preserve"/>
      </w:r>
    </w:p>
    <w:p>
      <w:pPr>
        <w:spacing w:after="80" w:before="200"/>
      </w:pPr>
      <w:r>
        <w:rPr>
          <w:rFonts w:ascii="Arial" w:cs="Arial" w:eastAsia="Arial" w:hAnsi="Arial"/>
          <w:b/>
          <w:bCs/>
          <w:color w:val="2E4057"/>
          <w:sz w:val="24"/>
          <w:szCs w:val="24"/>
        </w:rPr>
        <w:t xml:space="preserve">Employment created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16"/>
        <w:gridCol w:w="3744"/>
      </w:tblGrid>
      <w:tr>
        <w:tc>
          <w:tcPr>
            <w:tcW w:type="dxa" w:w="5616"/>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Role</w:t>
            </w:r>
          </w:p>
        </w:tc>
        <w:tc>
          <w:tcPr>
            <w:tcW w:type="dxa" w:w="3744"/>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Approximate numbers</w:t>
            </w:r>
          </w:p>
        </w:tc>
      </w:tr>
      <w:tr>
        <w:tc>
          <w:tcPr>
            <w:tcW w:type="dxa" w:w="561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MSRU operators and sorters</w:t>
            </w:r>
          </w:p>
        </w:tc>
        <w:tc>
          <w:tcPr>
            <w:tcW w:type="dxa" w:w="3744"/>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~20</w:t>
            </w:r>
          </w:p>
        </w:tc>
      </w:tr>
      <w:tr>
        <w:tc>
          <w:tcPr>
            <w:tcW w:type="dxa" w:w="5616"/>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Vehicle drivers and logistics</w:t>
            </w:r>
          </w:p>
        </w:tc>
        <w:tc>
          <w:tcPr>
            <w:tcW w:type="dxa" w:w="3744"/>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~10</w:t>
            </w:r>
          </w:p>
        </w:tc>
      </w:tr>
      <w:tr>
        <w:tc>
          <w:tcPr>
            <w:tcW w:type="dxa" w:w="561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Community coordinators</w:t>
            </w:r>
          </w:p>
        </w:tc>
        <w:tc>
          <w:tcPr>
            <w:tcW w:type="dxa" w:w="3744"/>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~5</w:t>
            </w:r>
          </w:p>
        </w:tc>
      </w:tr>
      <w:tr>
        <w:tc>
          <w:tcPr>
            <w:tcW w:type="dxa" w:w="5616"/>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Materials processing technicians</w:t>
            </w:r>
          </w:p>
        </w:tc>
        <w:tc>
          <w:tcPr>
            <w:tcW w:type="dxa" w:w="3744"/>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~8</w:t>
            </w:r>
          </w:p>
        </w:tc>
      </w:tr>
      <w:tr>
        <w:tc>
          <w:tcPr>
            <w:tcW w:type="dxa" w:w="561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Total direct employment</w:t>
            </w:r>
          </w:p>
        </w:tc>
        <w:tc>
          <w:tcPr>
            <w:tcW w:type="dxa" w:w="3744"/>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~43</w:t>
            </w:r>
          </w:p>
        </w:tc>
      </w:tr>
    </w:tbl>
    <w:p>
      <w:pPr>
        <w:spacing w:after="0" w:before="80"/>
      </w:pPr>
      <w:r>
        <w:t xml:space="preserve"/>
      </w:r>
    </w:p>
    <w:p>
      <w:pPr>
        <w:spacing w:after="80" w:before="200"/>
      </w:pPr>
      <w:r>
        <w:rPr>
          <w:rFonts w:ascii="Arial" w:cs="Arial" w:eastAsia="Arial" w:hAnsi="Arial"/>
          <w:b/>
          <w:bCs/>
          <w:color w:val="2E4057"/>
          <w:sz w:val="24"/>
          <w:szCs w:val="24"/>
        </w:rPr>
        <w:t xml:space="preserve">The Dave Network</w:t>
      </w:r>
    </w:p>
    <w:p>
      <w:pPr>
        <w:spacing w:after="80" w:before="80"/>
      </w:pPr>
      <w:r>
        <w:rPr>
          <w:rFonts w:ascii="Arial" w:cs="Arial" w:eastAsia="Arial" w:hAnsi="Arial"/>
          <w:color w:val="222222"/>
          <w:sz w:val="22"/>
          <w:szCs w:val="22"/>
        </w:rPr>
        <w:t xml:space="preserve">The MSRU operates alongside the Dave Network — a community points and benefit-sharing platform that rewards residents for contributing to the waste-to-energy system. Points are earned for delivering used cooking oil, reducing household energy consumption, contributing to community solar generation, and shifting energy use to off-peak times. Points are redeemable for energy credits, Line Kitchen vouchers, tool library access, and community events.</w:t>
      </w:r>
    </w:p>
    <w:p>
      <w:pPr>
        <w:spacing w:after="80" w:before="80"/>
      </w:pPr>
      <w:r>
        <w:rPr>
          <w:rFonts w:ascii="Arial" w:cs="Arial" w:eastAsia="Arial" w:hAnsi="Arial"/>
          <w:color w:val="222222"/>
          <w:sz w:val="22"/>
          <w:szCs w:val="22"/>
        </w:rPr>
        <w:t xml:space="preserve">The Dave Network is the social infrastructure that connects individual community members to the collective energy and economic system. It makes participation tangible, rewarded, and local.</w:t>
      </w:r>
    </w:p>
    <w:p>
      <w:r>
        <w:br w:type="page"/>
      </w:r>
    </w:p>
    <w:p>
      <w:pPr>
        <w:pStyle w:val="Heading1"/>
        <w:spacing w:after="160" w:before="400"/>
      </w:pPr>
      <w:r>
        <w:rPr>
          <w:rFonts w:ascii="Arial" w:cs="Arial" w:eastAsia="Arial" w:hAnsi="Arial"/>
          <w:b/>
          <w:bCs/>
          <w:color w:val="1B3A5C"/>
          <w:sz w:val="40"/>
          <w:szCs w:val="40"/>
        </w:rPr>
        <w:t xml:space="preserve">Part Three: The MPPU</w:t>
      </w:r>
    </w:p>
    <w:p>
      <w:pPr>
        <w:pBdr>
          <w:bottom w:val="single" w:color="0F6E56" w:sz="6" w:space="1"/>
        </w:pBdr>
        <w:spacing w:after="200" w:before="200"/>
      </w:pPr>
      <w:r>
        <w:t xml:space="preserve"/>
      </w:r>
    </w:p>
    <w:p>
      <w:pPr>
        <w:pStyle w:val="Heading2"/>
        <w:spacing w:after="120" w:before="280"/>
      </w:pPr>
      <w:r>
        <w:rPr>
          <w:rFonts w:ascii="Arial" w:cs="Arial" w:eastAsia="Arial" w:hAnsi="Arial"/>
          <w:b/>
          <w:bCs/>
          <w:color w:val="0F6E56"/>
          <w:sz w:val="30"/>
          <w:szCs w:val="30"/>
        </w:rPr>
        <w:t xml:space="preserve">Mobile Power Production Unit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5EE" w:val="clear"/>
            <w:tcMar>
              <w:top w:type="dxa" w:w="200"/>
              <w:left w:type="dxa" w:w="280"/>
              <w:bottom w:type="dxa" w:w="200"/>
              <w:right w:type="dxa" w:w="280"/>
            </w:tcMar>
          </w:tcPr>
          <w:p>
            <w:r>
              <w:rPr>
                <w:rFonts w:ascii="Arial" w:cs="Arial" w:eastAsia="Arial" w:hAnsi="Arial"/>
                <w:b/>
                <w:bCs/>
                <w:i/>
                <w:iCs/>
                <w:color w:val="0F6E56"/>
                <w:sz w:val="26"/>
                <w:szCs w:val="26"/>
              </w:rPr>
              <w:t xml:space="preserve">The resources came from here. The power stays here. The grid — decentralised.</w:t>
            </w:r>
          </w:p>
        </w:tc>
      </w:tr>
    </w:tbl>
    <w:p>
      <w:pPr>
        <w:spacing w:after="0" w:before="100"/>
      </w:pPr>
      <w:r>
        <w:t xml:space="preserve"/>
      </w:r>
    </w:p>
    <w:p>
      <w:pPr>
        <w:spacing w:after="80" w:before="80"/>
      </w:pPr>
      <w:r>
        <w:rPr>
          <w:rFonts w:ascii="Arial" w:cs="Arial" w:eastAsia="Arial" w:hAnsi="Arial"/>
          <w:color w:val="222222"/>
          <w:sz w:val="22"/>
          <w:szCs w:val="22"/>
        </w:rPr>
        <w:t xml:space="preserve">The MPPU is a container-scale, community-operated distributed energy system that converts local waste streams into reliable electrical power and heat. It is the downstream processing partner to the MSRU: every material the MSRU cannot sell as recycled commodity becomes fuel for the MPPU.</w:t>
      </w:r>
    </w:p>
    <w:p>
      <w:pPr>
        <w:spacing w:after="80" w:before="80"/>
      </w:pPr>
      <w:r>
        <w:rPr>
          <w:rFonts w:ascii="Arial" w:cs="Arial" w:eastAsia="Arial" w:hAnsi="Arial"/>
          <w:color w:val="222222"/>
          <w:sz w:val="22"/>
          <w:szCs w:val="22"/>
        </w:rPr>
        <w:t xml:space="preserve">The MPPU inverts the traditional energy model entirely. Instead of communities being passive consumers at the end of long transmission lines, paying for electricity generated elsewhere, the MPPU arrives in the community and generates power from the resources already there.</w:t>
      </w:r>
    </w:p>
    <w:p>
      <w:pPr>
        <w:spacing w:after="0" w:before="80"/>
      </w:pPr>
      <w:r>
        <w:t xml:space="preserve"/>
      </w:r>
    </w:p>
    <w:p>
      <w:pPr>
        <w:spacing w:after="80" w:before="200"/>
      </w:pPr>
      <w:r>
        <w:rPr>
          <w:rFonts w:ascii="Arial" w:cs="Arial" w:eastAsia="Arial" w:hAnsi="Arial"/>
          <w:b/>
          <w:bCs/>
          <w:color w:val="2E4057"/>
          <w:sz w:val="24"/>
          <w:szCs w:val="24"/>
        </w:rPr>
        <w:t xml:space="preserve">Generation technologies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c>
          <w:tcPr>
            <w:tcW w:type="dxa" w:w="2600"/>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Technology</w:t>
            </w:r>
          </w:p>
        </w:tc>
        <w:tc>
          <w:tcPr>
            <w:tcW w:type="dxa" w:w="3380"/>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Fuel source</w:t>
            </w:r>
          </w:p>
        </w:tc>
        <w:tc>
          <w:tcPr>
            <w:tcW w:type="dxa" w:w="3380"/>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Output</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Biomass gasification</w:t>
            </w:r>
          </w:p>
        </w:tc>
        <w:tc>
          <w:tcPr>
            <w:tcW w:type="dxa" w:w="33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Wood waste and timber from MSRU</w:t>
            </w:r>
          </w:p>
        </w:tc>
        <w:tc>
          <w:tcPr>
            <w:tcW w:type="dxa" w:w="33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Electricity + recoverable heat</w:t>
            </w:r>
          </w:p>
        </w:tc>
      </w:tr>
      <w:tr>
        <w:tc>
          <w:tcPr>
            <w:tcW w:type="dxa" w:w="26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Anaerobic digestion</w:t>
            </w:r>
          </w:p>
        </w:tc>
        <w:tc>
          <w:tcPr>
            <w:tcW w:type="dxa" w:w="33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Food waste and green waste</w:t>
            </w:r>
          </w:p>
        </w:tc>
        <w:tc>
          <w:tcPr>
            <w:tcW w:type="dxa" w:w="33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Biogas → electricity + fertiliser</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Biodiesel generation</w:t>
            </w:r>
          </w:p>
        </w:tc>
        <w:tc>
          <w:tcPr>
            <w:tcW w:type="dxa" w:w="33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Used cooking oil from chip shops</w:t>
            </w:r>
          </w:p>
        </w:tc>
        <w:tc>
          <w:tcPr>
            <w:tcW w:type="dxa" w:w="33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Biodiesel for fleet and backup</w:t>
            </w:r>
          </w:p>
        </w:tc>
      </w:tr>
      <w:tr>
        <w:tc>
          <w:tcPr>
            <w:tcW w:type="dxa" w:w="26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Solar-battery hybrid</w:t>
            </w:r>
          </w:p>
        </w:tc>
        <w:tc>
          <w:tcPr>
            <w:tcW w:type="dxa" w:w="33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Sun / stored grid</w:t>
            </w:r>
          </w:p>
        </w:tc>
        <w:tc>
          <w:tcPr>
            <w:tcW w:type="dxa" w:w="33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Peak shaving and demand smoothing</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Heat recovery loop</w:t>
            </w:r>
          </w:p>
        </w:tc>
        <w:tc>
          <w:tcPr>
            <w:tcW w:type="dxa" w:w="33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Waste heat from all generation</w:t>
            </w:r>
          </w:p>
        </w:tc>
        <w:tc>
          <w:tcPr>
            <w:tcW w:type="dxa" w:w="33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District heating for Hub buildings</w:t>
            </w:r>
          </w:p>
        </w:tc>
      </w:tr>
    </w:tbl>
    <w:p>
      <w:pPr>
        <w:spacing w:after="0" w:before="100"/>
      </w:pPr>
      <w:r>
        <w:t xml:space="preserve"/>
      </w:r>
    </w:p>
    <w:p>
      <w:pPr>
        <w:spacing w:after="80" w:before="200"/>
      </w:pPr>
      <w:r>
        <w:rPr>
          <w:rFonts w:ascii="Arial" w:cs="Arial" w:eastAsia="Arial" w:hAnsi="Arial"/>
          <w:b/>
          <w:bCs/>
          <w:color w:val="2E4057"/>
          <w:sz w:val="24"/>
          <w:szCs w:val="24"/>
        </w:rPr>
        <w:t xml:space="preserve">Container unit specifications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Unit size</w:t>
            </w:r>
          </w:p>
        </w:tc>
        <w:tc>
          <w:tcPr>
            <w:tcW w:type="dxa" w:w="2340"/>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Power output</w:t>
            </w:r>
          </w:p>
        </w:tc>
        <w:tc>
          <w:tcPr>
            <w:tcW w:type="dxa" w:w="2340"/>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Waste input per day</w:t>
            </w:r>
          </w:p>
        </w:tc>
        <w:tc>
          <w:tcPr>
            <w:tcW w:type="dxa" w:w="2340"/>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Best application</w:t>
            </w:r>
          </w:p>
        </w:tc>
      </w:tr>
      <w:tr>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20ft container</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50–100 kW</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1–1.5 tonnes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Single community node</w:t>
            </w:r>
          </w:p>
        </w:tc>
      </w:tr>
      <w:tr>
        <w:tc>
          <w:tcPr>
            <w:tcW w:type="dxa" w:w="23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40ft container</w:t>
            </w:r>
          </w:p>
        </w:tc>
        <w:tc>
          <w:tcPr>
            <w:tcW w:type="dxa" w:w="23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200–300 kW</w:t>
            </w:r>
          </w:p>
        </w:tc>
        <w:tc>
          <w:tcPr>
            <w:tcW w:type="dxa" w:w="23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2–3 tonnes</w:t>
            </w:r>
          </w:p>
        </w:tc>
        <w:tc>
          <w:tcPr>
            <w:tcW w:type="dxa" w:w="23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Hub or district supply</w:t>
            </w:r>
          </w:p>
        </w:tc>
      </w:tr>
      <w:tr>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Multi-container array</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2–3 MW</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20–30 tonnes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Full corridor energy supply</w:t>
            </w:r>
          </w:p>
        </w:tc>
      </w:tr>
    </w:tbl>
    <w:p>
      <w:pPr>
        <w:spacing w:after="0" w:before="100"/>
      </w:pPr>
      <w:r>
        <w:t xml:space="preserve"/>
      </w:r>
    </w:p>
    <w:p>
      <w:pPr>
        <w:spacing w:after="80" w:before="200"/>
      </w:pPr>
      <w:r>
        <w:rPr>
          <w:rFonts w:ascii="Arial" w:cs="Arial" w:eastAsia="Arial" w:hAnsi="Arial"/>
          <w:b/>
          <w:bCs/>
          <w:color w:val="2E4057"/>
          <w:sz w:val="24"/>
          <w:szCs w:val="24"/>
        </w:rPr>
        <w:t xml:space="preserve">Community microgrid architecture</w:t>
      </w:r>
    </w:p>
    <w:p>
      <w:pPr>
        <w:pStyle w:val="ListParagraph"/>
        <w:numPr>
          <w:ilvl w:val="0"/>
          <w:numId w:val="2"/>
        </w:numPr>
        <w:spacing w:after="60" w:before="60"/>
      </w:pPr>
      <w:r>
        <w:rPr>
          <w:rFonts w:ascii="Arial" w:cs="Arial" w:eastAsia="Arial" w:hAnsi="Arial"/>
          <w:color w:val="222222"/>
          <w:sz w:val="22"/>
          <w:szCs w:val="22"/>
        </w:rPr>
        <w:t xml:space="preserve">Grid-connected operation: exports surplus power, imports when needed</w:t>
      </w:r>
    </w:p>
    <w:p>
      <w:pPr>
        <w:pStyle w:val="ListParagraph"/>
        <w:numPr>
          <w:ilvl w:val="0"/>
          <w:numId w:val="2"/>
        </w:numPr>
        <w:spacing w:after="60" w:before="60"/>
      </w:pPr>
      <w:r>
        <w:rPr>
          <w:rFonts w:ascii="Arial" w:cs="Arial" w:eastAsia="Arial" w:hAnsi="Arial"/>
          <w:color w:val="222222"/>
          <w:sz w:val="22"/>
          <w:szCs w:val="22"/>
        </w:rPr>
        <w:t xml:space="preserve">Island mode: can disconnect and power critical loads during grid failures</w:t>
      </w:r>
    </w:p>
    <w:p>
      <w:pPr>
        <w:pStyle w:val="ListParagraph"/>
        <w:numPr>
          <w:ilvl w:val="0"/>
          <w:numId w:val="2"/>
        </w:numPr>
        <w:spacing w:after="60" w:before="60"/>
      </w:pPr>
      <w:r>
        <w:rPr>
          <w:rFonts w:ascii="Arial" w:cs="Arial" w:eastAsia="Arial" w:hAnsi="Arial"/>
          <w:color w:val="222222"/>
          <w:sz w:val="22"/>
          <w:szCs w:val="22"/>
        </w:rPr>
        <w:t xml:space="preserve">Peer-to-peer energy trading: community members trade power via Dave Network app</w:t>
      </w:r>
    </w:p>
    <w:p>
      <w:pPr>
        <w:pStyle w:val="ListParagraph"/>
        <w:numPr>
          <w:ilvl w:val="0"/>
          <w:numId w:val="2"/>
        </w:numPr>
        <w:spacing w:after="60" w:before="60"/>
      </w:pPr>
      <w:r>
        <w:rPr>
          <w:rFonts w:ascii="Arial" w:cs="Arial" w:eastAsia="Arial" w:hAnsi="Arial"/>
          <w:color w:val="222222"/>
          <w:sz w:val="22"/>
          <w:szCs w:val="22"/>
        </w:rPr>
        <w:t xml:space="preserve">Demand response: smart load management reduces peak demand charges</w:t>
      </w:r>
    </w:p>
    <w:p>
      <w:pPr>
        <w:pStyle w:val="ListParagraph"/>
        <w:numPr>
          <w:ilvl w:val="0"/>
          <w:numId w:val="2"/>
        </w:numPr>
        <w:spacing w:after="60" w:before="60"/>
      </w:pPr>
      <w:r>
        <w:rPr>
          <w:rFonts w:ascii="Arial" w:cs="Arial" w:eastAsia="Arial" w:hAnsi="Arial"/>
          <w:color w:val="222222"/>
          <w:sz w:val="22"/>
          <w:szCs w:val="22"/>
        </w:rPr>
        <w:t xml:space="preserve">Battery storage: containerised battery systems smooth renewable output</w:t>
      </w:r>
    </w:p>
    <w:p>
      <w:pPr>
        <w:spacing w:after="0" w:before="80"/>
      </w:pPr>
      <w:r>
        <w:t xml:space="preserve"/>
      </w:r>
    </w:p>
    <w:p>
      <w:pPr>
        <w:spacing w:after="80" w:before="200"/>
      </w:pPr>
      <w:r>
        <w:rPr>
          <w:rFonts w:ascii="Arial" w:cs="Arial" w:eastAsia="Arial" w:hAnsi="Arial"/>
          <w:b/>
          <w:bCs/>
          <w:color w:val="2E4057"/>
          <w:sz w:val="24"/>
          <w:szCs w:val="24"/>
        </w:rPr>
        <w:t xml:space="preserve">Community energy economics</w:t>
      </w:r>
    </w:p>
    <w:p>
      <w:pPr>
        <w:spacing w:after="80" w:before="80"/>
      </w:pPr>
      <w:r>
        <w:rPr>
          <w:rFonts w:ascii="Arial" w:cs="Arial" w:eastAsia="Arial" w:hAnsi="Arial"/>
          <w:color w:val="222222"/>
          <w:sz w:val="22"/>
          <w:szCs w:val="22"/>
        </w:rPr>
        <w:t xml:space="preserve">All surplus stays in the community. 40% of net surplus goes directly to the community fund, allocated by resident vote. 35% is reinvested in expanding the system. 25% goes to the labour premium: MPPU operators earn above minimum wage because they are running community-owned critical infrastructure.</w:t>
      </w:r>
    </w:p>
    <w:p>
      <w:pPr>
        <w:spacing w:after="80" w:before="80"/>
      </w:pPr>
      <w:r>
        <w:rPr>
          <w:rFonts w:ascii="Arial" w:cs="Arial" w:eastAsia="Arial" w:hAnsi="Arial"/>
          <w:color w:val="222222"/>
          <w:sz w:val="22"/>
          <w:szCs w:val="22"/>
        </w:rPr>
        <w:t xml:space="preserve">Community members connected to the microgrid save 15–25% on electricity bills through time-of-use optimisation, demand charge reduction, local generation efficiency, and community bulk purchasing power.</w:t>
      </w:r>
    </w:p>
    <w:p>
      <w:pPr>
        <w:spacing w:after="0" w:before="80"/>
      </w:pPr>
      <w:r>
        <w:t xml:space="preserve"/>
      </w:r>
    </w:p>
    <w:p>
      <w:pPr>
        <w:spacing w:after="80" w:before="200"/>
      </w:pPr>
      <w:r>
        <w:rPr>
          <w:rFonts w:ascii="Arial" w:cs="Arial" w:eastAsia="Arial" w:hAnsi="Arial"/>
          <w:b/>
          <w:bCs/>
          <w:color w:val="2E4057"/>
          <w:sz w:val="24"/>
          <w:szCs w:val="24"/>
        </w:rPr>
        <w:t xml:space="preserve">Revenue streams</w:t>
      </w:r>
    </w:p>
    <w:p>
      <w:pPr>
        <w:pStyle w:val="ListParagraph"/>
        <w:numPr>
          <w:ilvl w:val="0"/>
          <w:numId w:val="2"/>
        </w:numPr>
        <w:spacing w:after="60" w:before="60"/>
      </w:pPr>
      <w:r>
        <w:rPr>
          <w:rFonts w:ascii="Arial" w:cs="Arial" w:eastAsia="Arial" w:hAnsi="Arial"/>
          <w:color w:val="222222"/>
          <w:sz w:val="22"/>
          <w:szCs w:val="22"/>
        </w:rPr>
        <w:t xml:space="preserve">Grid export payments — selling surplus power to National Grid</w:t>
      </w:r>
    </w:p>
    <w:p>
      <w:pPr>
        <w:pStyle w:val="ListParagraph"/>
        <w:numPr>
          <w:ilvl w:val="0"/>
          <w:numId w:val="2"/>
        </w:numPr>
        <w:spacing w:after="60" w:before="60"/>
      </w:pPr>
      <w:r>
        <w:rPr>
          <w:rFonts w:ascii="Arial" w:cs="Arial" w:eastAsia="Arial" w:hAnsi="Arial"/>
          <w:color w:val="222222"/>
          <w:sz w:val="22"/>
          <w:szCs w:val="22"/>
        </w:rPr>
        <w:t xml:space="preserve">Capacity market payments — paid for availability as backup generation</w:t>
      </w:r>
    </w:p>
    <w:p>
      <w:pPr>
        <w:pStyle w:val="ListParagraph"/>
        <w:numPr>
          <w:ilvl w:val="0"/>
          <w:numId w:val="2"/>
        </w:numPr>
        <w:spacing w:after="60" w:before="60"/>
      </w:pPr>
      <w:r>
        <w:rPr>
          <w:rFonts w:ascii="Arial" w:cs="Arial" w:eastAsia="Arial" w:hAnsi="Arial"/>
          <w:color w:val="222222"/>
          <w:sz w:val="22"/>
          <w:szCs w:val="22"/>
        </w:rPr>
        <w:t xml:space="preserve">Renewable energy certificates — tradeable green energy credits</w:t>
      </w:r>
    </w:p>
    <w:p>
      <w:pPr>
        <w:pStyle w:val="ListParagraph"/>
        <w:numPr>
          <w:ilvl w:val="0"/>
          <w:numId w:val="2"/>
        </w:numPr>
        <w:spacing w:after="60" w:before="60"/>
      </w:pPr>
      <w:r>
        <w:rPr>
          <w:rFonts w:ascii="Arial" w:cs="Arial" w:eastAsia="Arial" w:hAnsi="Arial"/>
          <w:color w:val="222222"/>
          <w:sz w:val="22"/>
          <w:szCs w:val="22"/>
        </w:rPr>
        <w:t xml:space="preserve">Carbon credits — monetising verified emissions avoidance</w:t>
      </w:r>
    </w:p>
    <w:p>
      <w:pPr>
        <w:pStyle w:val="ListParagraph"/>
        <w:numPr>
          <w:ilvl w:val="0"/>
          <w:numId w:val="2"/>
        </w:numPr>
        <w:spacing w:after="60" w:before="60"/>
      </w:pPr>
      <w:r>
        <w:rPr>
          <w:rFonts w:ascii="Arial" w:cs="Arial" w:eastAsia="Arial" w:hAnsi="Arial"/>
          <w:color w:val="222222"/>
          <w:sz w:val="22"/>
          <w:szCs w:val="22"/>
        </w:rPr>
        <w:t xml:space="preserve">Heat sales — district heating to Hub buildings and Line facilities</w:t>
      </w:r>
    </w:p>
    <w:p>
      <w:pPr>
        <w:pStyle w:val="ListParagraph"/>
        <w:numPr>
          <w:ilvl w:val="0"/>
          <w:numId w:val="2"/>
        </w:numPr>
        <w:spacing w:after="60" w:before="60"/>
      </w:pPr>
      <w:r>
        <w:rPr>
          <w:rFonts w:ascii="Arial" w:cs="Arial" w:eastAsia="Arial" w:hAnsi="Arial"/>
          <w:color w:val="222222"/>
          <w:sz w:val="22"/>
          <w:szCs w:val="22"/>
        </w:rPr>
        <w:t xml:space="preserve">Gate fees — communities pay MPPU to take waste as fuel, avoiding landfill costs</w:t>
      </w:r>
    </w:p>
    <w:p>
      <w:pPr>
        <w:spacing w:after="0" w:before="80"/>
      </w:pPr>
      <w:r>
        <w:t xml:space="preserve"/>
      </w:r>
    </w:p>
    <w:p>
      <w:pPr>
        <w:spacing w:after="80" w:before="200"/>
      </w:pPr>
      <w:r>
        <w:rPr>
          <w:rFonts w:ascii="Arial" w:cs="Arial" w:eastAsia="Arial" w:hAnsi="Arial"/>
          <w:b/>
          <w:bCs/>
          <w:color w:val="2E4057"/>
          <w:sz w:val="24"/>
          <w:szCs w:val="24"/>
        </w:rPr>
        <w:t xml:space="preserve">The virtuous cycle</w:t>
      </w:r>
    </w:p>
    <w:p>
      <w:pPr>
        <w:spacing w:after="80" w:before="80"/>
      </w:pPr>
      <w:r>
        <w:rPr>
          <w:rFonts w:ascii="Arial" w:cs="Arial" w:eastAsia="Arial" w:hAnsi="Arial"/>
          <w:color w:val="222222"/>
          <w:sz w:val="22"/>
          <w:szCs w:val="22"/>
        </w:rPr>
        <w:t xml:space="preserve">The MSRU clears The Line corridor, producing waste biomass. The MPPU converts that biomass into electricity and heat. The electricity powers The Line operations. The heat warms the Line Kitchen, farm, and Hub facilities. Surplus power is exported, generating community revenue. That revenue funds further MSRU and MPPU expansion. The cycle repeats, stronger each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5EE" w:val="clear"/>
            <w:tcMar>
              <w:top w:type="dxa" w:w="200"/>
              <w:left w:type="dxa" w:w="280"/>
              <w:bottom w:type="dxa" w:w="200"/>
              <w:right w:type="dxa" w:w="280"/>
            </w:tcMar>
          </w:tcPr>
          <w:p>
            <w:r>
              <w:rPr>
                <w:rFonts w:ascii="Arial" w:cs="Arial" w:eastAsia="Arial" w:hAnsi="Arial"/>
                <w:b/>
                <w:bCs/>
                <w:i/>
                <w:iCs/>
                <w:color w:val="0F6E56"/>
                <w:sz w:val="26"/>
                <w:szCs w:val="26"/>
              </w:rPr>
              <w:t xml:space="preserve">The Line becomes energy self-sufficient while generating surplus revenue for the community.</w:t>
            </w:r>
          </w:p>
        </w:tc>
      </w:tr>
    </w:tbl>
    <w:p>
      <w:r>
        <w:br w:type="page"/>
      </w:r>
    </w:p>
    <w:p>
      <w:pPr>
        <w:pStyle w:val="Heading1"/>
        <w:spacing w:after="160" w:before="400"/>
      </w:pPr>
      <w:r>
        <w:rPr>
          <w:rFonts w:ascii="Arial" w:cs="Arial" w:eastAsia="Arial" w:hAnsi="Arial"/>
          <w:b/>
          <w:bCs/>
          <w:color w:val="1B3A5C"/>
          <w:sz w:val="40"/>
          <w:szCs w:val="40"/>
        </w:rPr>
        <w:t xml:space="preserve">Part Four: The Science of Nuclear Fission</w:t>
      </w:r>
    </w:p>
    <w:p>
      <w:pPr>
        <w:pBdr>
          <w:bottom w:val="single" w:color="854F0B" w:sz="6" w:space="1"/>
        </w:pBdr>
        <w:spacing w:after="200" w:before="200"/>
      </w:pPr>
      <w:r>
        <w:t xml:space="preserve"/>
      </w:r>
    </w:p>
    <w:p>
      <w:pPr>
        <w:pStyle w:val="Heading2"/>
        <w:spacing w:after="120" w:before="280"/>
      </w:pPr>
      <w:r>
        <w:rPr>
          <w:rFonts w:ascii="Arial" w:cs="Arial" w:eastAsia="Arial" w:hAnsi="Arial"/>
          <w:b/>
          <w:bCs/>
          <w:color w:val="0F6E56"/>
          <w:sz w:val="30"/>
          <w:szCs w:val="30"/>
        </w:rPr>
        <w:t xml:space="preserve">Understanding the energy source</w:t>
      </w:r>
    </w:p>
    <w:p>
      <w:pPr>
        <w:spacing w:after="80" w:before="80"/>
      </w:pPr>
      <w:r>
        <w:rPr>
          <w:rFonts w:ascii="Arial" w:cs="Arial" w:eastAsia="Arial" w:hAnsi="Arial"/>
          <w:color w:val="222222"/>
          <w:sz w:val="22"/>
          <w:szCs w:val="22"/>
        </w:rPr>
        <w:t xml:space="preserve">Before the MPPU-N can be properly understood, the underlying physics must be clear. Nuclear fission is not a new or mysterious process — it has powered commercial electricity generation since the 1950s and its science is thoroughly understood. What is new is the proposal to use it at community scale, in modular containerised form, fuelled by converted weapons material.</w:t>
      </w:r>
    </w:p>
    <w:p>
      <w:pPr>
        <w:spacing w:after="0" w:before="60"/>
      </w:pPr>
      <w:r>
        <w:t xml:space="preserve"/>
      </w:r>
    </w:p>
    <w:p>
      <w:pPr>
        <w:spacing w:after="80" w:before="200"/>
      </w:pPr>
      <w:r>
        <w:rPr>
          <w:rFonts w:ascii="Arial" w:cs="Arial" w:eastAsia="Arial" w:hAnsi="Arial"/>
          <w:b/>
          <w:bCs/>
          <w:color w:val="2E4057"/>
          <w:sz w:val="24"/>
          <w:szCs w:val="24"/>
        </w:rPr>
        <w:t xml:space="preserve">What fission is</w:t>
      </w:r>
    </w:p>
    <w:p>
      <w:pPr>
        <w:spacing w:after="80" w:before="80"/>
      </w:pPr>
      <w:r>
        <w:rPr>
          <w:rFonts w:ascii="Arial" w:cs="Arial" w:eastAsia="Arial" w:hAnsi="Arial"/>
          <w:color w:val="222222"/>
          <w:sz w:val="22"/>
          <w:szCs w:val="22"/>
        </w:rPr>
        <w:t xml:space="preserve">Fission is the splitting of heavy atomic nuclei — specifically uranium-235 or plutonium-239 — into smaller fragments. When a free neutron moving at the right speed strikes a uranium-235 nucleus, the nucleus absorbs it and becomes momentarily uranium-236, which is so unstable that it tears itself apart almost instantly. The split produces two smaller atoms (fission fragments), releases two or three free neutrons, and emits an enormous burst of energy as gamma radiation and kinetic heat.</w:t>
      </w:r>
    </w:p>
    <w:p>
      <w:pPr>
        <w:spacing w:after="80" w:before="80"/>
      </w:pPr>
      <w:r>
        <w:rPr>
          <w:rFonts w:ascii="Arial" w:cs="Arial" w:eastAsia="Arial" w:hAnsi="Arial"/>
          <w:color w:val="222222"/>
          <w:sz w:val="22"/>
          <w:szCs w:val="22"/>
        </w:rPr>
        <w:t xml:space="preserve">The energy released comes directly from mass conversion, described by Einstein's equation E=mc². The mass of the two fission fragments is slightly less than the mass of the original uranium atom. That missing mass has been converted into pure energy. Because the speed of light squared is an enormous number, even a tiny mass difference produces a very large energy release.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3E3" w:val="clear"/>
            <w:tcMar>
              <w:top w:type="dxa" w:w="200"/>
              <w:left w:type="dxa" w:w="280"/>
              <w:bottom w:type="dxa" w:w="200"/>
              <w:right w:type="dxa" w:w="280"/>
            </w:tcMar>
          </w:tcPr>
          <w:p>
            <w:r>
              <w:rPr>
                <w:rFonts w:ascii="Arial" w:cs="Arial" w:eastAsia="Arial" w:hAnsi="Arial"/>
                <w:b/>
                <w:bCs/>
                <w:i/>
                <w:iCs/>
                <w:color w:val="854F0B"/>
                <w:sz w:val="26"/>
                <w:szCs w:val="26"/>
              </w:rPr>
              <w:t xml:space="preserve">1 kilogram of uranium-235, fully fissioned, releases the same energy as burning approximately 3,000 tonnes of coal. This is why a grapefruit-sized fuel assembly can power a community for a year.</w:t>
            </w:r>
          </w:p>
        </w:tc>
      </w:tr>
    </w:tbl>
    <w:p>
      <w:pPr>
        <w:spacing w:after="0" w:before="100"/>
      </w:pPr>
      <w:r>
        <w:t xml:space="preserve"/>
      </w:r>
    </w:p>
    <w:p>
      <w:pPr>
        <w:spacing w:after="80" w:before="200"/>
      </w:pPr>
      <w:r>
        <w:rPr>
          <w:rFonts w:ascii="Arial" w:cs="Arial" w:eastAsia="Arial" w:hAnsi="Arial"/>
          <w:b/>
          <w:bCs/>
          <w:color w:val="2E4057"/>
          <w:sz w:val="24"/>
          <w:szCs w:val="24"/>
        </w:rPr>
        <w:t xml:space="preserve">The chain reaction</w:t>
      </w:r>
    </w:p>
    <w:p>
      <w:pPr>
        <w:spacing w:after="80" w:before="80"/>
      </w:pPr>
      <w:r>
        <w:rPr>
          <w:rFonts w:ascii="Arial" w:cs="Arial" w:eastAsia="Arial" w:hAnsi="Arial"/>
          <w:color w:val="222222"/>
          <w:sz w:val="22"/>
          <w:szCs w:val="22"/>
        </w:rPr>
        <w:t xml:space="preserve">What makes fission a power source rather than a single event is the chain reaction. Each fission event releases two or three free neutrons. Each of those neutrons can strike another uranium nucleus and cause another fission. That fission releases more neutrons. If enough fissile material is present — the critical mass — the neutrons find new atoms faster than they escape the material. The reaction becomes self-sustaining.</w:t>
      </w:r>
    </w:p>
    <w:p>
      <w:pPr>
        <w:spacing w:after="80" w:before="80"/>
      </w:pPr>
      <w:r>
        <w:rPr>
          <w:rFonts w:ascii="Arial" w:cs="Arial" w:eastAsia="Arial" w:hAnsi="Arial"/>
          <w:color w:val="222222"/>
          <w:sz w:val="22"/>
          <w:szCs w:val="22"/>
        </w:rPr>
        <w:t xml:space="preserve">In a weapon, the chain reaction is allowed to multiply exponentially without control, releasing all the energy at once in a fraction of a millisecond. In a reactor, control rods made of neutron-absorbing material are inserted into the core to soak up excess neutrons and keep the multiplication rate exactly at one: every fission event causes exactly one more. The reaction is steady, continuous, and controllable.</w:t>
      </w:r>
    </w:p>
    <w:p>
      <w:pPr>
        <w:spacing w:after="0" w:before="80"/>
      </w:pPr>
      <w:r>
        <w:t xml:space="preserve"/>
      </w:r>
    </w:p>
    <w:p>
      <w:pPr>
        <w:spacing w:after="80" w:before="200"/>
      </w:pPr>
      <w:r>
        <w:rPr>
          <w:rFonts w:ascii="Arial" w:cs="Arial" w:eastAsia="Arial" w:hAnsi="Arial"/>
          <w:b/>
          <w:bCs/>
          <w:color w:val="2E4057"/>
          <w:sz w:val="24"/>
          <w:szCs w:val="24"/>
        </w:rPr>
        <w:t xml:space="preserve">The critical mass floor: why miniaturisation has a limit</w:t>
      </w:r>
    </w:p>
    <w:p>
      <w:pPr>
        <w:spacing w:after="80" w:before="80"/>
      </w:pPr>
      <w:r>
        <w:rPr>
          <w:rFonts w:ascii="Arial" w:cs="Arial" w:eastAsia="Arial" w:hAnsi="Arial"/>
          <w:color w:val="222222"/>
          <w:sz w:val="22"/>
          <w:szCs w:val="22"/>
        </w:rPr>
        <w:t xml:space="preserve">This is the most important physics constraint for the MPPU-N design. Unlike semiconductor miniaturisation, where transistors can in principle scale toward arbitrarily small sizes, nuclear fuel geometry has a hard physical floor: the critical mass.</w:t>
      </w:r>
    </w:p>
    <w:p>
      <w:pPr>
        <w:spacing w:after="80" w:before="80"/>
      </w:pPr>
      <w:r>
        <w:rPr>
          <w:rFonts w:ascii="Arial" w:cs="Arial" w:eastAsia="Arial" w:hAnsi="Arial"/>
          <w:color w:val="222222"/>
          <w:sz w:val="22"/>
          <w:szCs w:val="22"/>
        </w:rPr>
        <w:t xml:space="preserve">Below a certain minimum quantity of fissile material arranged in the right geometry, the chain reaction cannot sustain itself because neutrons escape the surface faster than they can find new nuclei to split. For uranium-235 at weapons-grade enrichment (90%), the critical mass in an ideal reflected configuration is approximately 15–20 kilograms. For HALEU at 19.75% enrichment, the critical mass is larger but still achievable at grapefruit-to-football scale in a well-designed reflected geometry.</w:t>
      </w:r>
    </w:p>
    <w:p>
      <w:pPr>
        <w:spacing w:after="80" w:before="80"/>
      </w:pPr>
      <w:r>
        <w:rPr>
          <w:rFonts w:ascii="Arial" w:cs="Arial" w:eastAsia="Arial" w:hAnsi="Arial"/>
          <w:color w:val="222222"/>
          <w:sz w:val="22"/>
          <w:szCs w:val="22"/>
        </w:rPr>
        <w:t xml:space="preserve">This means the smallest possible fission reactor is not vanishingly small — it has a practical minimum size. Below that minimum, fission stops and you must use decay heat (RTG technology) instead. This defines the boundary between Tier 2 and Tier 3 of the MPPU-N architecture.</w:t>
      </w:r>
    </w:p>
    <w:p>
      <w:pPr>
        <w:spacing w:after="0" w:before="80"/>
      </w:pPr>
      <w:r>
        <w:t xml:space="preserve"/>
      </w:r>
    </w:p>
    <w:p>
      <w:pPr>
        <w:spacing w:after="80" w:before="200"/>
      </w:pPr>
      <w:r>
        <w:rPr>
          <w:rFonts w:ascii="Arial" w:cs="Arial" w:eastAsia="Arial" w:hAnsi="Arial"/>
          <w:b/>
          <w:bCs/>
          <w:color w:val="2E4057"/>
          <w:sz w:val="24"/>
          <w:szCs w:val="24"/>
        </w:rPr>
        <w:t xml:space="preserve">Fission versus fusion: a critical distinction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CCCCCC" w:sz="1"/>
              <w:left w:val="single" w:color="CCCCCC" w:sz="1"/>
              <w:bottom w:val="single" w:color="CCCCCC" w:sz="1"/>
              <w:right w:val="single" w:color="CCCCCC" w:sz="1"/>
            </w:tcBorders>
            <w:shd w:fill="854F0B" w:val="clear"/>
            <w:tcMar>
              <w:top w:type="dxa" w:w="100"/>
              <w:left w:type="dxa" w:w="140"/>
              <w:bottom w:type="dxa" w:w="100"/>
              <w:right w:type="dxa" w:w="140"/>
            </w:tcMar>
          </w:tcPr>
          <w:p>
            <w:r>
              <w:rPr>
                <w:rFonts w:ascii="Arial" w:cs="Arial" w:eastAsia="Arial" w:hAnsi="Arial"/>
                <w:b/>
                <w:bCs/>
                <w:color w:val="FFFFFF"/>
                <w:sz w:val="20"/>
                <w:szCs w:val="20"/>
              </w:rPr>
              <w:t xml:space="preserve">Property</w:t>
            </w:r>
          </w:p>
        </w:tc>
        <w:tc>
          <w:tcPr>
            <w:tcW w:type="dxa" w:w="3510"/>
            <w:tcBorders>
              <w:top w:val="single" w:color="CCCCCC" w:sz="1"/>
              <w:left w:val="single" w:color="CCCCCC" w:sz="1"/>
              <w:bottom w:val="single" w:color="CCCCCC" w:sz="1"/>
              <w:right w:val="single" w:color="CCCCCC" w:sz="1"/>
            </w:tcBorders>
            <w:shd w:fill="854F0B" w:val="clear"/>
            <w:tcMar>
              <w:top w:type="dxa" w:w="100"/>
              <w:left w:type="dxa" w:w="140"/>
              <w:bottom w:type="dxa" w:w="100"/>
              <w:right w:type="dxa" w:w="140"/>
            </w:tcMar>
          </w:tcPr>
          <w:p>
            <w:r>
              <w:rPr>
                <w:rFonts w:ascii="Arial" w:cs="Arial" w:eastAsia="Arial" w:hAnsi="Arial"/>
                <w:b/>
                <w:bCs/>
                <w:color w:val="FFFFFF"/>
                <w:sz w:val="20"/>
                <w:szCs w:val="20"/>
              </w:rPr>
              <w:t xml:space="preserve">Fission</w:t>
            </w:r>
          </w:p>
        </w:tc>
        <w:tc>
          <w:tcPr>
            <w:tcW w:type="dxa" w:w="3510"/>
            <w:tcBorders>
              <w:top w:val="single" w:color="CCCCCC" w:sz="1"/>
              <w:left w:val="single" w:color="CCCCCC" w:sz="1"/>
              <w:bottom w:val="single" w:color="CCCCCC" w:sz="1"/>
              <w:right w:val="single" w:color="CCCCCC" w:sz="1"/>
            </w:tcBorders>
            <w:shd w:fill="854F0B" w:val="clear"/>
            <w:tcMar>
              <w:top w:type="dxa" w:w="100"/>
              <w:left w:type="dxa" w:w="140"/>
              <w:bottom w:type="dxa" w:w="100"/>
              <w:right w:type="dxa" w:w="140"/>
            </w:tcMar>
          </w:tcPr>
          <w:p>
            <w:r>
              <w:rPr>
                <w:rFonts w:ascii="Arial" w:cs="Arial" w:eastAsia="Arial" w:hAnsi="Arial"/>
                <w:b/>
                <w:bCs/>
                <w:color w:val="FFFFFF"/>
                <w:sz w:val="20"/>
                <w:szCs w:val="20"/>
              </w:rPr>
              <w:t xml:space="preserve">Fusion</w:t>
            </w:r>
          </w:p>
        </w:tc>
      </w:tr>
      <w:tr>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Process</w:t>
            </w:r>
          </w:p>
        </w:tc>
        <w:tc>
          <w:tcPr>
            <w:tcW w:type="dxa" w:w="351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Splitting heavy atoms (U-235, Pu-239)</w:t>
            </w:r>
          </w:p>
        </w:tc>
        <w:tc>
          <w:tcPr>
            <w:tcW w:type="dxa" w:w="351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Joining light atoms (deuterium + tritium)</w:t>
            </w:r>
          </w:p>
        </w:tc>
      </w:tr>
      <w:tr>
        <w:tc>
          <w:tcPr>
            <w:tcW w:type="dxa" w:w="23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Temperature required</w:t>
            </w:r>
          </w:p>
        </w:tc>
        <w:tc>
          <w:tcPr>
            <w:tcW w:type="dxa" w:w="351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Moderate — sustained at room temperature once started</w:t>
            </w:r>
          </w:p>
        </w:tc>
        <w:tc>
          <w:tcPr>
            <w:tcW w:type="dxa" w:w="351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~100 million °C — no solid material survives</w:t>
            </w:r>
          </w:p>
        </w:tc>
      </w:tr>
      <w:tr>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Current status</w:t>
            </w:r>
          </w:p>
        </w:tc>
        <w:tc>
          <w:tcPr>
            <w:tcW w:type="dxa" w:w="351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Proven, commercial, 70+ years of operation</w:t>
            </w:r>
          </w:p>
        </w:tc>
        <w:tc>
          <w:tcPr>
            <w:tcW w:type="dxa" w:w="351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Experimental — net gain achieved momentarily at NIF</w:t>
            </w:r>
          </w:p>
        </w:tc>
      </w:tr>
      <w:tr>
        <w:tc>
          <w:tcPr>
            <w:tcW w:type="dxa" w:w="23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Deployable today?</w:t>
            </w:r>
          </w:p>
        </w:tc>
        <w:tc>
          <w:tcPr>
            <w:tcW w:type="dxa" w:w="351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Yes — SMRs and microreactors in development</w:t>
            </w:r>
          </w:p>
        </w:tc>
        <w:tc>
          <w:tcPr>
            <w:tcW w:type="dxa" w:w="351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No — decades away from commercial deployment</w:t>
            </w:r>
          </w:p>
        </w:tc>
      </w:tr>
      <w:tr>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Waste produced</w:t>
            </w:r>
          </w:p>
        </w:tc>
        <w:tc>
          <w:tcPr>
            <w:tcW w:type="dxa" w:w="351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Radioactive fission fragments, long-lived</w:t>
            </w:r>
          </w:p>
        </w:tc>
        <w:tc>
          <w:tcPr>
            <w:tcW w:type="dxa" w:w="351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Minimal — short-lived tritium and activated materials</w:t>
            </w:r>
          </w:p>
        </w:tc>
      </w:tr>
      <w:tr>
        <w:tc>
          <w:tcPr>
            <w:tcW w:type="dxa" w:w="23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Relevance to MPPU-N</w:t>
            </w:r>
          </w:p>
        </w:tc>
        <w:tc>
          <w:tcPr>
            <w:tcW w:type="dxa" w:w="351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The correct technology for all three tiers</w:t>
            </w:r>
          </w:p>
        </w:tc>
        <w:tc>
          <w:tcPr>
            <w:tcW w:type="dxa" w:w="351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Not applicable to this proposal</w:t>
            </w:r>
          </w:p>
        </w:tc>
      </w:tr>
    </w:tbl>
    <w:p>
      <w:pPr>
        <w:spacing w:after="0" w:before="80"/>
      </w:pPr>
      <w:r>
        <w:t xml:space="preserve"/>
      </w:r>
    </w:p>
    <w:p>
      <w:pPr>
        <w:spacing w:after="80" w:before="200"/>
      </w:pPr>
      <w:r>
        <w:rPr>
          <w:rFonts w:ascii="Arial" w:cs="Arial" w:eastAsia="Arial" w:hAnsi="Arial"/>
          <w:b/>
          <w:bCs/>
          <w:color w:val="2E4057"/>
          <w:sz w:val="24"/>
          <w:szCs w:val="24"/>
        </w:rPr>
        <w:t xml:space="preserve">From heat to electricity: the full chain</w:t>
      </w:r>
    </w:p>
    <w:p>
      <w:pPr>
        <w:spacing w:after="80" w:before="80"/>
      </w:pPr>
      <w:r>
        <w:rPr>
          <w:rFonts w:ascii="Arial" w:cs="Arial" w:eastAsia="Arial" w:hAnsi="Arial"/>
          <w:color w:val="222222"/>
          <w:sz w:val="22"/>
          <w:szCs w:val="22"/>
        </w:rPr>
        <w:t xml:space="preserve">In a reactor, fission heat boils water into steam. Steam drives a turbine. The turbine spins a generator. Electricity flows to the grid. At the end of this chain, a nuclear power station is a very sophisticated kettle. The nuclear physics is at the beginning; everything from the steam turbine onward is conventional engineering that has existed for over a century.</w:t>
      </w:r>
    </w:p>
    <w:p>
      <w:pPr>
        <w:spacing w:after="80" w:before="80"/>
      </w:pPr>
      <w:r>
        <w:rPr>
          <w:rFonts w:ascii="Arial" w:cs="Arial" w:eastAsia="Arial" w:hAnsi="Arial"/>
          <w:color w:val="222222"/>
          <w:sz w:val="22"/>
          <w:szCs w:val="22"/>
        </w:rPr>
        <w:t xml:space="preserve">In the MPPU-N Tier 3 portable unit, the conversion is more direct: decay heat from the fuel is converted to electricity via thermocouples (solid-state, no moving parts) in a Radioisotope Thermoelectric Generator configuration. This eliminates the steam cycle entirely and makes a genuinely vehicle-mounted power source possible.</w:t>
      </w:r>
    </w:p>
    <w:p>
      <w:r>
        <w:br w:type="page"/>
      </w:r>
    </w:p>
    <w:p>
      <w:pPr>
        <w:pStyle w:val="Heading1"/>
        <w:spacing w:after="160" w:before="400"/>
      </w:pPr>
      <w:r>
        <w:rPr>
          <w:rFonts w:ascii="Arial" w:cs="Arial" w:eastAsia="Arial" w:hAnsi="Arial"/>
          <w:b/>
          <w:bCs/>
          <w:color w:val="1B3A5C"/>
          <w:sz w:val="40"/>
          <w:szCs w:val="40"/>
        </w:rPr>
        <w:t xml:space="preserve">Part Five: The MPPU-N</w:t>
      </w:r>
    </w:p>
    <w:p>
      <w:pPr>
        <w:pBdr>
          <w:bottom w:val="single" w:color="1B3A5C" w:sz="6" w:space="1"/>
        </w:pBdr>
        <w:spacing w:after="200" w:before="200"/>
      </w:pPr>
      <w:r>
        <w:t xml:space="preserve"/>
      </w:r>
    </w:p>
    <w:p>
      <w:pPr>
        <w:pStyle w:val="Heading2"/>
        <w:spacing w:after="120" w:before="280"/>
      </w:pPr>
      <w:r>
        <w:rPr>
          <w:rFonts w:ascii="Arial" w:cs="Arial" w:eastAsia="Arial" w:hAnsi="Arial"/>
          <w:b/>
          <w:bCs/>
          <w:color w:val="0F6E56"/>
          <w:sz w:val="30"/>
          <w:szCs w:val="30"/>
        </w:rPr>
        <w:t xml:space="preserve">Mobile Power Production Unit — Nuclear Conversion Edition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EBF8" w:val="clear"/>
            <w:tcMar>
              <w:top w:type="dxa" w:w="200"/>
              <w:left w:type="dxa" w:w="280"/>
              <w:bottom w:type="dxa" w:w="200"/>
              <w:right w:type="dxa" w:w="280"/>
            </w:tcMar>
          </w:tcPr>
          <w:p>
            <w:r>
              <w:rPr>
                <w:rFonts w:ascii="Arial" w:cs="Arial" w:eastAsia="Arial" w:hAnsi="Arial"/>
                <w:b/>
                <w:bCs/>
                <w:i/>
                <w:iCs/>
                <w:color w:val="1B3A5C"/>
                <w:sz w:val="26"/>
                <w:szCs w:val="26"/>
              </w:rPr>
              <w:t xml:space="preserve">Swords into ploughshares. Warheads into watts. The most destructive technology ever built — repurposed to power the communities that were most at risk from it.</w:t>
            </w:r>
          </w:p>
        </w:tc>
      </w:tr>
    </w:tbl>
    <w:p>
      <w:pPr>
        <w:spacing w:after="0" w:before="100"/>
      </w:pPr>
      <w:r>
        <w:t xml:space="preserve"/>
      </w:r>
    </w:p>
    <w:p>
      <w:pPr>
        <w:spacing w:after="80" w:before="80"/>
      </w:pPr>
      <w:r>
        <w:rPr>
          <w:rFonts w:ascii="Arial" w:cs="Arial" w:eastAsia="Arial" w:hAnsi="Arial"/>
          <w:color w:val="222222"/>
          <w:sz w:val="22"/>
          <w:szCs w:val="22"/>
        </w:rPr>
        <w:t xml:space="preserve">The MPPU-N extends the MPPU biomass model into the most consequential energy conversion opportunity in human history: the systematic downblending of decommissioned nuclear weapons material into fuel for community-scale microreactors, deployed on the same community ownership and revenue-sharing model as the MPPU biomass system.</w:t>
      </w:r>
    </w:p>
    <w:p>
      <w:pPr>
        <w:spacing w:after="80" w:before="80"/>
      </w:pPr>
      <w:r>
        <w:rPr>
          <w:rFonts w:ascii="Arial" w:cs="Arial" w:eastAsia="Arial" w:hAnsi="Arial"/>
          <w:color w:val="222222"/>
          <w:sz w:val="22"/>
          <w:szCs w:val="22"/>
        </w:rPr>
        <w:t xml:space="preserve">This is not theoretical. The conversion chemistry is proven. The reactor designs exist or are in development. The regulatory pathway, while lengthy, is navigable. The only thing required is the political decision to do it, and a community willing to demonstrate that it can be done with integrity.</w:t>
      </w:r>
    </w:p>
    <w:p>
      <w:pPr>
        <w:spacing w:after="0" w:before="80"/>
      </w:pPr>
      <w:r>
        <w:t xml:space="preserve"/>
      </w:r>
    </w:p>
    <w:p>
      <w:pPr>
        <w:pStyle w:val="Heading2"/>
        <w:spacing w:after="120" w:before="280"/>
      </w:pPr>
      <w:r>
        <w:rPr>
          <w:rFonts w:ascii="Arial" w:cs="Arial" w:eastAsia="Arial" w:hAnsi="Arial"/>
          <w:b/>
          <w:bCs/>
          <w:color w:val="0F6E56"/>
          <w:sz w:val="30"/>
          <w:szCs w:val="30"/>
        </w:rPr>
        <w:t xml:space="preserve">The conversion pathways</w:t>
      </w:r>
    </w:p>
    <w:p>
      <w:pPr>
        <w:spacing w:after="80" w:before="200"/>
      </w:pPr>
      <w:r>
        <w:rPr>
          <w:rFonts w:ascii="Arial" w:cs="Arial" w:eastAsia="Arial" w:hAnsi="Arial"/>
          <w:b/>
          <w:bCs/>
          <w:color w:val="2E4057"/>
          <w:sz w:val="24"/>
          <w:szCs w:val="24"/>
        </w:rPr>
        <w:t xml:space="preserve">Pathway 1: Downblending to LEU (proven at scale)</w:t>
      </w:r>
    </w:p>
    <w:p>
      <w:pPr>
        <w:spacing w:after="80" w:before="80"/>
      </w:pPr>
      <w:r>
        <w:rPr>
          <w:rFonts w:ascii="Arial" w:cs="Arial" w:eastAsia="Arial" w:hAnsi="Arial"/>
          <w:color w:val="222222"/>
          <w:sz w:val="22"/>
          <w:szCs w:val="22"/>
        </w:rPr>
        <w:t xml:space="preserve">Weapons-grade Highly Enriched Uranium (HEU) is enriched to approximately 90% Uranium-235. Standard nuclear fuel requires only 3–5% enrichment. Downblending mixes HEU with depleted or natural uranium to reduce enrichment to Low-Enriched Uranium (LEU) grade, which is then fabricated into standard fuel pellets.</w:t>
      </w:r>
    </w:p>
    <w:p>
      <w:pPr>
        <w:spacing w:after="80" w:before="80"/>
      </w:pPr>
      <w:r>
        <w:rPr>
          <w:rFonts w:ascii="Arial" w:cs="Arial" w:eastAsia="Arial" w:hAnsi="Arial"/>
          <w:color w:val="222222"/>
          <w:sz w:val="22"/>
          <w:szCs w:val="22"/>
        </w:rPr>
        <w:t xml:space="preserve">This pathway was proven by the Megatons to Megawatts programme (1993–2013), which converted 500 metric tonnes of Russian HEU — equivalent to approximately 20,000 warheads — into fuel that generated roughly 10% of all United States electricity for two decades.</w:t>
      </w:r>
    </w:p>
    <w:p>
      <w:pPr>
        <w:spacing w:after="0" w:before="60"/>
      </w:pPr>
      <w:r>
        <w:t xml:space="preserve"/>
      </w:r>
    </w:p>
    <w:p>
      <w:pPr>
        <w:spacing w:after="80" w:before="200"/>
      </w:pPr>
      <w:r>
        <w:rPr>
          <w:rFonts w:ascii="Arial" w:cs="Arial" w:eastAsia="Arial" w:hAnsi="Arial"/>
          <w:b/>
          <w:bCs/>
          <w:color w:val="2E4057"/>
          <w:sz w:val="24"/>
          <w:szCs w:val="24"/>
        </w:rPr>
        <w:t xml:space="preserve">Pathway 2: Downblending to HALEU (the community-scale route)</w:t>
      </w:r>
    </w:p>
    <w:p>
      <w:pPr>
        <w:spacing w:after="80" w:before="80"/>
      </w:pPr>
      <w:r>
        <w:rPr>
          <w:rFonts w:ascii="Arial" w:cs="Arial" w:eastAsia="Arial" w:hAnsi="Arial"/>
          <w:color w:val="222222"/>
          <w:sz w:val="22"/>
          <w:szCs w:val="22"/>
        </w:rPr>
        <w:t xml:space="preserve">High-Assay Low-Enriched Uranium (HALEU), enriched to between 5% and 20%, is the fuel required by next-generation microreactors and Small Modular Reactors. Weapons HEU is the ideal feedstock for HALEU production via controlled downblending. This pathway enables the containerised microreactor units of MPPU-N Tier 2.</w:t>
      </w:r>
    </w:p>
    <w:p>
      <w:pPr>
        <w:spacing w:after="0" w:before="60"/>
      </w:pPr>
      <w:r>
        <w:t xml:space="preserve"/>
      </w:r>
    </w:p>
    <w:p>
      <w:pPr>
        <w:spacing w:after="80" w:before="200"/>
      </w:pPr>
      <w:r>
        <w:rPr>
          <w:rFonts w:ascii="Arial" w:cs="Arial" w:eastAsia="Arial" w:hAnsi="Arial"/>
          <w:b/>
          <w:bCs/>
          <w:color w:val="2E4057"/>
          <w:sz w:val="24"/>
          <w:szCs w:val="24"/>
        </w:rPr>
        <w:t xml:space="preserve">Pathway 3: RTG from Pu-238 (the portable route)</w:t>
      </w:r>
    </w:p>
    <w:p>
      <w:pPr>
        <w:spacing w:after="80" w:before="80"/>
      </w:pPr>
      <w:r>
        <w:rPr>
          <w:rFonts w:ascii="Arial" w:cs="Arial" w:eastAsia="Arial" w:hAnsi="Arial"/>
          <w:color w:val="222222"/>
          <w:sz w:val="22"/>
          <w:szCs w:val="22"/>
        </w:rPr>
        <w:t xml:space="preserve">Plutonium-238 — separable from weapons material during processing — decays by emitting heat continuously for decades without requiring a chain reaction. Radioisotope Thermoelectric Generators capture this decay heat and convert it directly to electricity via thermocouples, with no moving parts and no active cooling. This is the technology that powers the Voyager probes and the Mars Curiosity rover. It enables MPPU-N Tier 3: a genuinely vehicle-mounted power source.</w:t>
      </w:r>
    </w:p>
    <w:p>
      <w:pPr>
        <w:spacing w:after="0" w:before="80"/>
      </w:pPr>
      <w:r>
        <w:t xml:space="preserve"/>
      </w:r>
    </w:p>
    <w:p>
      <w:pPr>
        <w:pStyle w:val="Heading2"/>
        <w:spacing w:after="120" w:before="280"/>
      </w:pPr>
      <w:r>
        <w:rPr>
          <w:rFonts w:ascii="Arial" w:cs="Arial" w:eastAsia="Arial" w:hAnsi="Arial"/>
          <w:b/>
          <w:bCs/>
          <w:color w:val="0F6E56"/>
          <w:sz w:val="30"/>
          <w:szCs w:val="30"/>
        </w:rPr>
        <w:t xml:space="preserve">The three-tier portability architecture</w:t>
      </w:r>
    </w:p>
    <w:p>
      <w:pPr>
        <w:spacing w:after="80" w:before="80"/>
      </w:pPr>
      <w:r>
        <w:rPr>
          <w:rFonts w:ascii="Arial" w:cs="Arial" w:eastAsia="Arial" w:hAnsi="Arial"/>
          <w:color w:val="222222"/>
          <w:sz w:val="22"/>
          <w:szCs w:val="22"/>
        </w:rPr>
        <w:t xml:space="preserve">The fundamental architectural insight of the MPPU-N is that ‘portable nuclear power’ is not one thing but three distinct engineering classes, each operating in a different physical regime, each with its own containment philosophy and regulatory tier.</w:t>
      </w:r>
    </w:p>
    <w:p>
      <w:pPr>
        <w:spacing w:after="0" w:before="60"/>
      </w:pPr>
      <w:r>
        <w:t xml:space="preserve"/>
      </w:r>
    </w:p>
    <w:p>
      <w:pPr>
        <w:spacing w:after="80" w:before="200"/>
      </w:pPr>
      <w:r>
        <w:rPr>
          <w:rFonts w:ascii="Arial" w:cs="Arial" w:eastAsia="Arial" w:hAnsi="Arial"/>
          <w:b/>
          <w:bCs/>
          <w:color w:val="2E4057"/>
          <w:sz w:val="24"/>
          <w:szCs w:val="24"/>
        </w:rPr>
        <w:t xml:space="preserve">Tier 1: Fixed conversion facility</w:t>
      </w:r>
    </w:p>
    <w:p>
      <w:pPr>
        <w:spacing w:after="80" w:before="80"/>
      </w:pPr>
      <w:r>
        <w:rPr>
          <w:rFonts w:ascii="Arial" w:cs="Arial" w:eastAsia="Arial" w:hAnsi="Arial"/>
          <w:color w:val="222222"/>
          <w:sz w:val="22"/>
          <w:szCs w:val="22"/>
        </w:rPr>
        <w:t xml:space="preserve">A stationary building on an existing licensed nuclear site (Capenhurst or similar). Its function is not power generation but material transformation: weapons HEU arrives, is downblended to HALEU, fabricated into sealed fuel cartridges, certified, and dispatched to Tier 2 and Tier 3 deployments. Spent cartridges return here for fuel recovery. This facility never moves. It operates under full existing nuclear licensing. It is the anchor of the entire system.</w:t>
      </w:r>
    </w:p>
    <w:p>
      <w:pPr>
        <w:spacing w:after="0" w:before="60"/>
      </w:pPr>
      <w:r>
        <w:t xml:space="preserve"/>
      </w:r>
    </w:p>
    <w:p>
      <w:pPr>
        <w:spacing w:after="80" w:before="200"/>
      </w:pPr>
      <w:r>
        <w:rPr>
          <w:rFonts w:ascii="Arial" w:cs="Arial" w:eastAsia="Arial" w:hAnsi="Arial"/>
          <w:b/>
          <w:bCs/>
          <w:color w:val="2E4057"/>
          <w:sz w:val="24"/>
          <w:szCs w:val="24"/>
        </w:rPr>
        <w:t xml:space="preserve">Tier 2: Deployable temporary reactor (1–10 MW)</w:t>
      </w:r>
    </w:p>
    <w:p>
      <w:pPr>
        <w:spacing w:after="80" w:before="80"/>
      </w:pPr>
      <w:r>
        <w:rPr>
          <w:rFonts w:ascii="Arial" w:cs="Arial" w:eastAsia="Arial" w:hAnsi="Arial"/>
          <w:color w:val="222222"/>
          <w:sz w:val="22"/>
          <w:szCs w:val="22"/>
        </w:rPr>
        <w:t xml:space="preserve">A microreactor system that can be craned into position on a prepared pad, connected to the grid and to a district heating loop, operated for a defined deployment period of ten to twenty-five years, then craned back out and relocated. The reactor vessel itself never moves while operating. All radioactive primary coolant loops are sealed inside an integral pressure boundary before transport. The secondary loop — the one that actually connects to community buildings — is physically separated by a heat exchanger inside the containment envelope.</w:t>
      </w:r>
    </w:p>
    <w:p>
      <w:pPr>
        <w:spacing w:after="80" w:before="80"/>
      </w:pPr>
      <w:r>
        <w:rPr>
          <w:rFonts w:ascii="Arial" w:cs="Arial" w:eastAsia="Arial" w:hAnsi="Arial"/>
          <w:color w:val="222222"/>
          <w:sz w:val="22"/>
          <w:szCs w:val="22"/>
        </w:rPr>
        <w:t xml:space="preserve">The community receives heat and power. The community never contacts radioactive material. At end of deployment, the sealed vessel returns to Tier 1.</w:t>
      </w:r>
    </w:p>
    <w:p>
      <w:pPr>
        <w:spacing w:after="0" w:before="60"/>
      </w:pPr>
      <w:r>
        <w:t xml:space="preserve"/>
      </w:r>
    </w:p>
    <w:p>
      <w:pPr>
        <w:spacing w:after="80" w:before="200"/>
      </w:pPr>
      <w:r>
        <w:rPr>
          <w:rFonts w:ascii="Arial" w:cs="Arial" w:eastAsia="Arial" w:hAnsi="Arial"/>
          <w:b/>
          <w:bCs/>
          <w:color w:val="2E4057"/>
          <w:sz w:val="24"/>
          <w:szCs w:val="24"/>
        </w:rPr>
        <w:t xml:space="preserve">Tier 3: Portable vehicle-scale unit (1–50 kW)</w:t>
      </w:r>
    </w:p>
    <w:p>
      <w:pPr>
        <w:spacing w:after="80" w:before="80"/>
      </w:pPr>
      <w:r>
        <w:rPr>
          <w:rFonts w:ascii="Arial" w:cs="Arial" w:eastAsia="Arial" w:hAnsi="Arial"/>
          <w:color w:val="222222"/>
          <w:sz w:val="22"/>
          <w:szCs w:val="22"/>
        </w:rPr>
        <w:t xml:space="preserve">A miniaturised fission or RTG unit genuinely mountable on a vehicle. Output is modest — kilowatts rather than megawatts — but it is continuous, requires no fuel logistics during its operational life, and can be deployed to remote or off-grid locations. Heat removal is passive: by conduction and natural convection through the vessel wall, with no pumps or valves that can fail. The entire unit is a sealed monolith that returns to Tier 1 at end of life.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440"/>
        <w:gridCol w:w="1200"/>
        <w:gridCol w:w="1800"/>
        <w:gridCol w:w="2040"/>
        <w:gridCol w:w="1320"/>
      </w:tblGrid>
      <w:tr>
        <w:tc>
          <w:tcPr>
            <w:tcW w:type="dxa" w:w="156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Tier</w:t>
            </w:r>
          </w:p>
        </w:tc>
        <w:tc>
          <w:tcPr>
            <w:tcW w:type="dxa" w:w="144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Portability</w:t>
            </w:r>
          </w:p>
        </w:tc>
        <w:tc>
          <w:tcPr>
            <w:tcW w:type="dxa" w:w="120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Output</w:t>
            </w:r>
          </w:p>
        </w:tc>
        <w:tc>
          <w:tcPr>
            <w:tcW w:type="dxa" w:w="180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Fuel</w:t>
            </w:r>
          </w:p>
        </w:tc>
        <w:tc>
          <w:tcPr>
            <w:tcW w:type="dxa" w:w="204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Regulatory class</w:t>
            </w:r>
          </w:p>
        </w:tc>
        <w:tc>
          <w:tcPr>
            <w:tcW w:type="dxa" w:w="132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Deployment period</w:t>
            </w:r>
          </w:p>
        </w:tc>
      </w:tr>
      <w:tr>
        <w:tc>
          <w:tcPr>
            <w:tcW w:type="dxa" w:w="1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1 — Fixed facility</w:t>
            </w:r>
          </w:p>
        </w:tc>
        <w:tc>
          <w:tcPr>
            <w:tcW w:type="dxa" w:w="14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Stationary</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N/A (processing)</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HEU input / HALEU output</w:t>
            </w:r>
          </w:p>
        </w:tc>
        <w:tc>
          <w:tcPr>
            <w:tcW w:type="dxa" w:w="20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Licensed nuclear site</w:t>
            </w:r>
          </w:p>
        </w:tc>
        <w:tc>
          <w:tcPr>
            <w:tcW w:type="dxa" w:w="13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Permanent</w:t>
            </w:r>
          </w:p>
        </w:tc>
      </w:tr>
      <w:tr>
        <w:tc>
          <w:tcPr>
            <w:tcW w:type="dxa" w:w="156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2 — Deployable reactor</w:t>
            </w:r>
          </w:p>
        </w:tc>
        <w:tc>
          <w:tcPr>
            <w:tcW w:type="dxa" w:w="14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Craned between sites</w:t>
            </w:r>
          </w:p>
        </w:tc>
        <w:tc>
          <w:tcPr>
            <w:tcW w:type="dxa" w:w="12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1–10 MW</w:t>
            </w:r>
          </w:p>
        </w:tc>
        <w:tc>
          <w:tcPr>
            <w:tcW w:type="dxa" w:w="18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HALEU microreactor</w:t>
            </w:r>
          </w:p>
        </w:tc>
        <w:tc>
          <w:tcPr>
            <w:tcW w:type="dxa" w:w="20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New ONR GDA class needed</w:t>
            </w:r>
          </w:p>
        </w:tc>
        <w:tc>
          <w:tcPr>
            <w:tcW w:type="dxa" w:w="132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10–25 years per site</w:t>
            </w:r>
          </w:p>
        </w:tc>
      </w:tr>
      <w:tr>
        <w:tc>
          <w:tcPr>
            <w:tcW w:type="dxa" w:w="1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3 — Portable unit</w:t>
            </w:r>
          </w:p>
        </w:tc>
        <w:tc>
          <w:tcPr>
            <w:tcW w:type="dxa" w:w="14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Vehicle-mounted</w:t>
            </w:r>
          </w:p>
        </w:tc>
        <w:tc>
          <w:tcPr>
            <w:tcW w:type="dxa" w:w="12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1–50 kW</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HALEU fission or Pu-238 RTG</w:t>
            </w:r>
          </w:p>
        </w:tc>
        <w:tc>
          <w:tcPr>
            <w:tcW w:type="dxa" w:w="20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RTG-adjacent — lighter touch</w:t>
            </w:r>
          </w:p>
        </w:tc>
        <w:tc>
          <w:tcPr>
            <w:tcW w:type="dxa" w:w="132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10–20 year sealed life</w:t>
            </w:r>
          </w:p>
        </w:tc>
      </w:tr>
    </w:tbl>
    <w:p>
      <w:pPr>
        <w:spacing w:after="0" w:before="100"/>
      </w:pPr>
      <w:r>
        <w:t xml:space="preserve"/>
      </w:r>
    </w:p>
    <w:p>
      <w:pPr>
        <w:pStyle w:val="Heading2"/>
        <w:spacing w:after="120" w:before="280"/>
      </w:pPr>
      <w:r>
        <w:rPr>
          <w:rFonts w:ascii="Arial" w:cs="Arial" w:eastAsia="Arial" w:hAnsi="Arial"/>
          <w:b/>
          <w:bCs/>
          <w:color w:val="0F6E56"/>
          <w:sz w:val="30"/>
          <w:szCs w:val="30"/>
        </w:rPr>
        <w:t xml:space="preserve">Critical challenges and honest responses</w:t>
      </w:r>
    </w:p>
    <w:p>
      <w:pPr>
        <w:spacing w:after="80" w:before="200"/>
      </w:pPr>
      <w:r>
        <w:rPr>
          <w:rFonts w:ascii="Arial" w:cs="Arial" w:eastAsia="Arial" w:hAnsi="Arial"/>
          <w:b/>
          <w:bCs/>
          <w:color w:val="2E4057"/>
          <w:sz w:val="24"/>
          <w:szCs w:val="24"/>
        </w:rPr>
        <w:t xml:space="preserve">Challenge: Transit shock loads and civil foundations</w:t>
      </w:r>
    </w:p>
    <w:p>
      <w:pPr>
        <w:spacing w:after="80" w:before="80"/>
      </w:pPr>
      <w:r>
        <w:rPr>
          <w:rFonts w:ascii="Arial" w:cs="Arial" w:eastAsia="Arial" w:hAnsi="Arial"/>
          <w:color w:val="222222"/>
          <w:sz w:val="22"/>
          <w:szCs w:val="22"/>
        </w:rPr>
        <w:t xml:space="preserve">Shipping containers are designed for compressive and racking loads from stacking and transit. Nuclear pressure vessels are designed for internal pressure, radiation flux, and thermal cycling. Marrying these structural philosophies requires an intermediate frame engineered to absorb transit loads without transmitting them to the reactor vessel. No current microreactor design is certified for road transport in a fuelled state. A new engineering class is required.</w:t>
      </w:r>
    </w:p>
    <w:p>
      <w:pPr>
        <w:spacing w:after="80" w:before="80"/>
      </w:pPr>
      <w:r>
        <w:rPr>
          <w:rFonts w:ascii="Arial" w:cs="Arial" w:eastAsia="Arial" w:hAnsi="Arial"/>
          <w:color w:val="222222"/>
          <w:sz w:val="22"/>
          <w:szCs w:val="22"/>
        </w:rPr>
        <w:t xml:space="preserve">Response: Tier 2 units are craned into position and installed on properly engineered foundations before fuelling. They are not driven away fuelled. The ‘deployable’ character comes from the ability to be repositioned between sites in an unfuelled state, not from driving while active.</w:t>
      </w:r>
    </w:p>
    <w:p>
      <w:pPr>
        <w:spacing w:after="0" w:before="60"/>
      </w:pPr>
      <w:r>
        <w:t xml:space="preserve"/>
      </w:r>
    </w:p>
    <w:p>
      <w:pPr>
        <w:spacing w:after="80" w:before="200"/>
      </w:pPr>
      <w:r>
        <w:rPr>
          <w:rFonts w:ascii="Arial" w:cs="Arial" w:eastAsia="Arial" w:hAnsi="Arial"/>
          <w:b/>
          <w:bCs/>
          <w:color w:val="2E4057"/>
          <w:sz w:val="24"/>
          <w:szCs w:val="24"/>
        </w:rPr>
        <w:t xml:space="preserve">Challenge: The HALEU supply chain does not yet exist at scale</w:t>
      </w:r>
    </w:p>
    <w:p>
      <w:pPr>
        <w:spacing w:after="80" w:before="80"/>
      </w:pPr>
      <w:r>
        <w:rPr>
          <w:rFonts w:ascii="Arial" w:cs="Arial" w:eastAsia="Arial" w:hAnsi="Arial"/>
          <w:color w:val="222222"/>
          <w:sz w:val="22"/>
          <w:szCs w:val="22"/>
        </w:rPr>
        <w:t xml:space="preserve">The global HALEU supply chain is nascent. Urenco's Capenhurst facility can enrich uranium but does not currently produce HALEU at the volumes required. A dedicated blend-down plant — distinct from both a weapons dismantlement facility and a commercial enrichment plant — would need to be built. This is a major infrastructure project in its own right.</w:t>
      </w:r>
    </w:p>
    <w:p>
      <w:pPr>
        <w:spacing w:after="80" w:before="80"/>
      </w:pPr>
      <w:r>
        <w:rPr>
          <w:rFonts w:ascii="Arial" w:cs="Arial" w:eastAsia="Arial" w:hAnsi="Arial"/>
          <w:color w:val="222222"/>
          <w:sz w:val="22"/>
          <w:szCs w:val="22"/>
        </w:rPr>
        <w:t xml:space="preserve">Response: This is a fifteen to twenty year build programme, not a three to five year one. The MPPU biomass system is the near-term deployment. The MPPU-N is the long-term destination, and the infrastructure work must begin now in parallel.</w:t>
      </w:r>
    </w:p>
    <w:p>
      <w:pPr>
        <w:spacing w:after="0" w:before="60"/>
      </w:pPr>
      <w:r>
        <w:t xml:space="preserve"/>
      </w:r>
    </w:p>
    <w:p>
      <w:pPr>
        <w:spacing w:after="80" w:before="200"/>
      </w:pPr>
      <w:r>
        <w:rPr>
          <w:rFonts w:ascii="Arial" w:cs="Arial" w:eastAsia="Arial" w:hAnsi="Arial"/>
          <w:b/>
          <w:bCs/>
          <w:color w:val="2E4057"/>
          <w:sz w:val="24"/>
          <w:szCs w:val="24"/>
        </w:rPr>
        <w:t xml:space="preserve">Challenge: Regulatory sequencing</w:t>
      </w:r>
    </w:p>
    <w:p>
      <w:pPr>
        <w:spacing w:after="80" w:before="80"/>
      </w:pPr>
      <w:r>
        <w:rPr>
          <w:rFonts w:ascii="Arial" w:cs="Arial" w:eastAsia="Arial" w:hAnsi="Arial"/>
          <w:color w:val="222222"/>
          <w:sz w:val="22"/>
          <w:szCs w:val="22"/>
        </w:rPr>
        <w:t xml:space="preserve">The ONR Generic Design Assessment for a new reactor type takes four to six years minimum for a substantially complete design. A community-scale microreactor optimised for crane-deployable installation does not currently exist in a form that could enter GDA. Design, regulatory approval, and deployment cannot run in parallel as the proposed timeline implies — each depends on the previous completing.</w:t>
      </w:r>
    </w:p>
    <w:p>
      <w:pPr>
        <w:spacing w:after="80" w:before="80"/>
      </w:pPr>
      <w:r>
        <w:rPr>
          <w:rFonts w:ascii="Arial" w:cs="Arial" w:eastAsia="Arial" w:hAnsi="Arial"/>
          <w:color w:val="222222"/>
          <w:sz w:val="22"/>
          <w:szCs w:val="22"/>
        </w:rPr>
        <w:t xml:space="preserve">Response: Partner with reactor manufacturers already in the GDA pipeline. Participate as a community deployment case study partner. North Liverpool demonstrates community energy competence through the biomass MPPU while the nuclear regulatory process runs its necessary course.</w:t>
      </w:r>
    </w:p>
    <w:p>
      <w:pPr>
        <w:spacing w:after="0" w:before="60"/>
      </w:pPr>
      <w:r>
        <w:t xml:space="preserve"/>
      </w:r>
    </w:p>
    <w:p>
      <w:pPr>
        <w:spacing w:after="80" w:before="200"/>
      </w:pPr>
      <w:r>
        <w:rPr>
          <w:rFonts w:ascii="Arial" w:cs="Arial" w:eastAsia="Arial" w:hAnsi="Arial"/>
          <w:b/>
          <w:bCs/>
          <w:color w:val="2E4057"/>
          <w:sz w:val="24"/>
          <w:szCs w:val="24"/>
        </w:rPr>
        <w:t xml:space="preserve">Challenge: Community siting versus nuclear licensing criteria</w:t>
      </w:r>
    </w:p>
    <w:p>
      <w:pPr>
        <w:spacing w:after="80" w:before="80"/>
      </w:pPr>
      <w:r>
        <w:rPr>
          <w:rFonts w:ascii="Arial" w:cs="Arial" w:eastAsia="Arial" w:hAnsi="Arial"/>
          <w:color w:val="222222"/>
          <w:sz w:val="22"/>
          <w:szCs w:val="22"/>
        </w:rPr>
        <w:t xml:space="preserve">Community energy siting logic — proximity to load, waste streams, grid connection — points toward urban and peri-urban industrial land. Nuclear licensing logic points toward remote sites with established nuclear infrastructure, large cooling water access, and emergency planning zones that do not encompass dense residential areas. In North Liverpool, these logics point in opposite directions.</w:t>
      </w:r>
    </w:p>
    <w:p>
      <w:pPr>
        <w:spacing w:after="80" w:before="80"/>
      </w:pPr>
      <w:r>
        <w:rPr>
          <w:rFonts w:ascii="Arial" w:cs="Arial" w:eastAsia="Arial" w:hAnsi="Arial"/>
          <w:color w:val="222222"/>
          <w:sz w:val="22"/>
          <w:szCs w:val="22"/>
        </w:rPr>
        <w:t xml:space="preserve">Response: The emergency planning zone for a small sealed microreactor is a fundamentally different scale to a large power station. RTG-based Tier 3 units have minimal EPZ requirements. The regulatory framework for microreactors in urban settings needs to be developed — and North Liverpool's willingness to host a pilot creates the opportunity to develop it.</w:t>
      </w:r>
    </w:p>
    <w:p>
      <w:pPr>
        <w:spacing w:after="0" w:before="60"/>
      </w:pPr>
      <w:r>
        <w:t xml:space="preserve"/>
      </w:r>
    </w:p>
    <w:p>
      <w:pPr>
        <w:spacing w:after="80" w:before="200"/>
      </w:pPr>
      <w:r>
        <w:rPr>
          <w:rFonts w:ascii="Arial" w:cs="Arial" w:eastAsia="Arial" w:hAnsi="Arial"/>
          <w:b/>
          <w:bCs/>
          <w:color w:val="2E4057"/>
          <w:sz w:val="24"/>
          <w:szCs w:val="24"/>
        </w:rPr>
        <w:t xml:space="preserve">Challenge: Liability structure and community ownership</w:t>
      </w:r>
    </w:p>
    <w:p>
      <w:pPr>
        <w:spacing w:after="80" w:before="80"/>
      </w:pPr>
      <w:r>
        <w:rPr>
          <w:rFonts w:ascii="Arial" w:cs="Arial" w:eastAsia="Arial" w:hAnsi="Arial"/>
          <w:color w:val="222222"/>
          <w:sz w:val="22"/>
          <w:szCs w:val="22"/>
        </w:rPr>
        <w:t xml:space="preserve">The Nuclear Installations Act 1965 places absolute liability for nuclear incidents on the licensed operator. A community benefit society cannot be a nuclear licensed operator in any straightforward sense. The liability ceiling under current UK nuclear law is €1.2 billion. This may require primary legislation to enable genuine community nuclear ownership.</w:t>
      </w:r>
    </w:p>
    <w:p>
      <w:pPr>
        <w:spacing w:after="80" w:before="80"/>
      </w:pPr>
      <w:r>
        <w:rPr>
          <w:rFonts w:ascii="Arial" w:cs="Arial" w:eastAsia="Arial" w:hAnsi="Arial"/>
          <w:color w:val="222222"/>
          <w:sz w:val="22"/>
          <w:szCs w:val="22"/>
        </w:rPr>
        <w:t xml:space="preserve">Response: The fuel supply authority retains ownership of the sealed cartridge throughout its operational life. The community owns the generation infrastructure and receives the economic benefits. The legal structure separates fuel custody (national) from generation benefit (local). This model requires legal innovation but the precedent of community renewable cooperatives provides a starting framework.</w:t>
      </w:r>
    </w:p>
    <w:p>
      <w:pPr>
        <w:spacing w:after="0" w:before="60"/>
      </w:pPr>
      <w:r>
        <w:t xml:space="preserve"/>
      </w:r>
    </w:p>
    <w:p>
      <w:pPr>
        <w:spacing w:after="80" w:before="200"/>
      </w:pPr>
      <w:r>
        <w:rPr>
          <w:rFonts w:ascii="Arial" w:cs="Arial" w:eastAsia="Arial" w:hAnsi="Arial"/>
          <w:b/>
          <w:bCs/>
          <w:color w:val="2E4057"/>
          <w:sz w:val="24"/>
          <w:szCs w:val="24"/>
        </w:rPr>
        <w:t xml:space="preserve">Challenge: Decommissioning costs</w:t>
      </w:r>
    </w:p>
    <w:p>
      <w:pPr>
        <w:spacing w:after="80" w:before="80"/>
      </w:pPr>
      <w:r>
        <w:rPr>
          <w:rFonts w:ascii="Arial" w:cs="Arial" w:eastAsia="Arial" w:hAnsi="Arial"/>
          <w:color w:val="222222"/>
          <w:sz w:val="22"/>
          <w:szCs w:val="22"/>
        </w:rPr>
        <w:t xml:space="preserve">The financial model shows generation revenue but does not account for decommissioning. Nuclear decommissioning regularly costs more than original construction. For sealed units returned to the manufacturer, these costs are partially embedded in the lease or cartridge price — but this means the true capital cost is substantially higher than headline figures suggest.</w:t>
      </w:r>
    </w:p>
    <w:p>
      <w:pPr>
        <w:spacing w:after="80" w:before="80"/>
      </w:pPr>
      <w:r>
        <w:rPr>
          <w:rFonts w:ascii="Arial" w:cs="Arial" w:eastAsia="Arial" w:hAnsi="Arial"/>
          <w:color w:val="222222"/>
          <w:sz w:val="22"/>
          <w:szCs w:val="22"/>
        </w:rPr>
        <w:t xml:space="preserve">Response: The full lifecycle cost must be modelled transparently and honestly. The economics must work including decommissioning, not just during generation. If they do not work at honest cost, the model should not be built on false economics.</w:t>
      </w:r>
    </w:p>
    <w:p>
      <w:pPr>
        <w:spacing w:after="0" w:before="80"/>
      </w:pPr>
      <w:r>
        <w:t xml:space="preserve"/>
      </w:r>
    </w:p>
    <w:p>
      <w:pPr>
        <w:pStyle w:val="Heading2"/>
        <w:spacing w:after="120" w:before="280"/>
      </w:pPr>
      <w:r>
        <w:rPr>
          <w:rFonts w:ascii="Arial" w:cs="Arial" w:eastAsia="Arial" w:hAnsi="Arial"/>
          <w:b/>
          <w:bCs/>
          <w:color w:val="0F6E56"/>
          <w:sz w:val="30"/>
          <w:szCs w:val="30"/>
        </w:rPr>
        <w:t xml:space="preserve">Community economics of the MPPU-N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c>
          <w:tcPr>
            <w:tcW w:type="dxa" w:w="260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Revenue stream</w:t>
            </w:r>
          </w:p>
        </w:tc>
        <w:tc>
          <w:tcPr>
            <w:tcW w:type="dxa" w:w="338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Mechanism</w:t>
            </w:r>
          </w:p>
        </w:tc>
        <w:tc>
          <w:tcPr>
            <w:tcW w:type="dxa" w:w="338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Indicative value (2MW unit)</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Grid export</w:t>
            </w:r>
          </w:p>
        </w:tc>
        <w:tc>
          <w:tcPr>
            <w:tcW w:type="dxa" w:w="33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Contracted power purchase agreement</w:t>
            </w:r>
          </w:p>
        </w:tc>
        <w:tc>
          <w:tcPr>
            <w:tcW w:type="dxa" w:w="33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£1.5–2M per year</w:t>
            </w:r>
          </w:p>
        </w:tc>
      </w:tr>
      <w:tr>
        <w:tc>
          <w:tcPr>
            <w:tcW w:type="dxa" w:w="26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Capacity market</w:t>
            </w:r>
          </w:p>
        </w:tc>
        <w:tc>
          <w:tcPr>
            <w:tcW w:type="dxa" w:w="33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Availability payment for dispatchable generation</w:t>
            </w:r>
          </w:p>
        </w:tc>
        <w:tc>
          <w:tcPr>
            <w:tcW w:type="dxa" w:w="33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£200–400k per year</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Contracts for Difference</w:t>
            </w:r>
          </w:p>
        </w:tc>
        <w:tc>
          <w:tcPr>
            <w:tcW w:type="dxa" w:w="33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Long-term price stability for nuclear output</w:t>
            </w:r>
          </w:p>
        </w:tc>
        <w:tc>
          <w:tcPr>
            <w:tcW w:type="dxa" w:w="33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Stabilises all above</w:t>
            </w:r>
          </w:p>
        </w:tc>
      </w:tr>
      <w:tr>
        <w:tc>
          <w:tcPr>
            <w:tcW w:type="dxa" w:w="26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Carbon credits</w:t>
            </w:r>
          </w:p>
        </w:tc>
        <w:tc>
          <w:tcPr>
            <w:tcW w:type="dxa" w:w="33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Displacing gas generation earns verified credits</w:t>
            </w:r>
          </w:p>
        </w:tc>
        <w:tc>
          <w:tcPr>
            <w:tcW w:type="dxa" w:w="33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£100–200k per year</w:t>
            </w:r>
          </w:p>
        </w:tc>
      </w:tr>
      <w:tr>
        <w:tc>
          <w:tcPr>
            <w:tcW w:type="dxa" w:w="26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Heat sales</w:t>
            </w:r>
          </w:p>
        </w:tc>
        <w:tc>
          <w:tcPr>
            <w:tcW w:type="dxa" w:w="33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District heating to Hub and corridor buildings</w:t>
            </w:r>
          </w:p>
        </w:tc>
        <w:tc>
          <w:tcPr>
            <w:tcW w:type="dxa" w:w="33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£100–300k per year</w:t>
            </w:r>
          </w:p>
        </w:tc>
      </w:tr>
      <w:tr>
        <w:tc>
          <w:tcPr>
            <w:tcW w:type="dxa" w:w="26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Total indicative annual revenue</w:t>
            </w:r>
          </w:p>
        </w:tc>
        <w:tc>
          <w:tcPr>
            <w:tcW w:type="dxa" w:w="33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
            </w:r>
          </w:p>
        </w:tc>
        <w:tc>
          <w:tcPr>
            <w:tcW w:type="dxa" w:w="33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£2–3M per year</w:t>
            </w:r>
          </w:p>
        </w:tc>
      </w:tr>
    </w:tbl>
    <w:p>
      <w:pPr>
        <w:spacing w:after="0" w:before="80"/>
      </w:pPr>
      <w:r>
        <w:t xml:space="preserve"/>
      </w:r>
    </w:p>
    <w:p>
      <w:pPr>
        <w:spacing w:after="80" w:before="80"/>
      </w:pPr>
      <w:r>
        <w:rPr>
          <w:rFonts w:ascii="Arial" w:cs="Arial" w:eastAsia="Arial" w:hAnsi="Arial"/>
          <w:color w:val="222222"/>
          <w:sz w:val="22"/>
          <w:szCs w:val="22"/>
        </w:rPr>
        <w:t xml:space="preserve">Community revenue distribution from MPPU-N generation: 50% of net surplus goes directly to the community fund, allocated by resident vote. 30% is reinvested in system maintenance and expansion. 20% goes to operator pay premium — nuclear technicians and microgrid operators earning professional wages for running community-owned critical infrastructure.</w:t>
      </w:r>
    </w:p>
    <w:p>
      <w:r>
        <w:br w:type="page"/>
      </w:r>
    </w:p>
    <w:p>
      <w:pPr>
        <w:pStyle w:val="Heading1"/>
        <w:spacing w:after="160" w:before="400"/>
      </w:pPr>
      <w:r>
        <w:rPr>
          <w:rFonts w:ascii="Arial" w:cs="Arial" w:eastAsia="Arial" w:hAnsi="Arial"/>
          <w:b/>
          <w:bCs/>
          <w:color w:val="1B3A5C"/>
          <w:sz w:val="40"/>
          <w:szCs w:val="40"/>
        </w:rPr>
        <w:t xml:space="preserve">Part Six: The Integrated System</w:t>
      </w:r>
    </w:p>
    <w:p>
      <w:pPr>
        <w:pBdr>
          <w:bottom w:val="single" w:color="0F6E56" w:sz="6" w:space="1"/>
        </w:pBdr>
        <w:spacing w:after="200" w:before="200"/>
      </w:pPr>
      <w:r>
        <w:t xml:space="preserve"/>
      </w:r>
    </w:p>
    <w:p>
      <w:pPr>
        <w:pStyle w:val="Heading2"/>
        <w:spacing w:after="120" w:before="280"/>
      </w:pPr>
      <w:r>
        <w:rPr>
          <w:rFonts w:ascii="Arial" w:cs="Arial" w:eastAsia="Arial" w:hAnsi="Arial"/>
          <w:b/>
          <w:bCs/>
          <w:color w:val="0F6E56"/>
          <w:sz w:val="30"/>
          <w:szCs w:val="30"/>
        </w:rPr>
        <w:t xml:space="preserve">The complete energy stack at The Hub</w:t>
      </w:r>
    </w:p>
    <w:p>
      <w:pPr>
        <w:spacing w:after="80" w:before="80"/>
      </w:pPr>
      <w:r>
        <w:rPr>
          <w:rFonts w:ascii="Arial" w:cs="Arial" w:eastAsia="Arial" w:hAnsi="Arial"/>
          <w:color w:val="222222"/>
          <w:sz w:val="22"/>
          <w:szCs w:val="22"/>
        </w:rPr>
        <w:t xml:space="preserve">The MSRU, MPPU, and MPPU-N are not three separate projects. They are three layers of a single integrated community energy and resource system, each building on the one before, each making the others more resilient and more valuable.</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100"/>
        <w:gridCol w:w="2100"/>
        <w:gridCol w:w="1800"/>
        <w:gridCol w:w="1800"/>
      </w:tblGrid>
      <w:tr>
        <w:tc>
          <w:tcPr>
            <w:tcW w:type="dxa" w:w="1560"/>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Layer</w:t>
            </w:r>
          </w:p>
        </w:tc>
        <w:tc>
          <w:tcPr>
            <w:tcW w:type="dxa" w:w="2100"/>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Technology</w:t>
            </w:r>
          </w:p>
        </w:tc>
        <w:tc>
          <w:tcPr>
            <w:tcW w:type="dxa" w:w="2100"/>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Fuel / source</w:t>
            </w:r>
          </w:p>
        </w:tc>
        <w:tc>
          <w:tcPr>
            <w:tcW w:type="dxa" w:w="1800"/>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Output</w:t>
            </w:r>
          </w:p>
        </w:tc>
        <w:tc>
          <w:tcPr>
            <w:tcW w:type="dxa" w:w="1800"/>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Availability</w:t>
            </w:r>
          </w:p>
        </w:tc>
      </w:tr>
      <w:tr>
        <w:tc>
          <w:tcPr>
            <w:tcW w:type="dxa" w:w="1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Nuclear baseload</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MPPU-N Tier 2 microreactor</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HALEU from converted warheads</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1–10 MW continuous</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24/7 · weather-independent</w:t>
            </w:r>
          </w:p>
        </w:tc>
      </w:tr>
      <w:tr>
        <w:tc>
          <w:tcPr>
            <w:tcW w:type="dxa" w:w="156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Biomass CHP</w:t>
            </w:r>
          </w:p>
        </w:tc>
        <w:tc>
          <w:tcPr>
            <w:tcW w:type="dxa" w:w="21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MPPU gasification + digestion</w:t>
            </w:r>
          </w:p>
        </w:tc>
        <w:tc>
          <w:tcPr>
            <w:tcW w:type="dxa" w:w="21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MSRU waste streams</w:t>
            </w:r>
          </w:p>
        </w:tc>
        <w:tc>
          <w:tcPr>
            <w:tcW w:type="dxa" w:w="18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200–300 kW variable</w:t>
            </w:r>
          </w:p>
        </w:tc>
        <w:tc>
          <w:tcPr>
            <w:tcW w:type="dxa" w:w="18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Fuel-dependent</w:t>
            </w:r>
          </w:p>
        </w:tc>
      </w:tr>
      <w:tr>
        <w:tc>
          <w:tcPr>
            <w:tcW w:type="dxa" w:w="1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Solar supplement</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Container-roof PV arrays</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Sun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Peak-hour supplement</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Daylight hours</w:t>
            </w:r>
          </w:p>
        </w:tc>
      </w:tr>
      <w:tr>
        <w:tc>
          <w:tcPr>
            <w:tcW w:type="dxa" w:w="156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Battery storage</w:t>
            </w:r>
          </w:p>
        </w:tc>
        <w:tc>
          <w:tcPr>
            <w:tcW w:type="dxa" w:w="21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Containerised grid batteries</w:t>
            </w:r>
          </w:p>
        </w:tc>
        <w:tc>
          <w:tcPr>
            <w:tcW w:type="dxa" w:w="21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Stored generation</w:t>
            </w:r>
          </w:p>
        </w:tc>
        <w:tc>
          <w:tcPr>
            <w:tcW w:type="dxa" w:w="18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Demand smoothing</w:t>
            </w:r>
          </w:p>
        </w:tc>
        <w:tc>
          <w:tcPr>
            <w:tcW w:type="dxa" w:w="18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As charged</w:t>
            </w:r>
          </w:p>
        </w:tc>
      </w:tr>
      <w:tr>
        <w:tc>
          <w:tcPr>
            <w:tcW w:type="dxa" w:w="15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District heat</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Combined heat recovery loop</w:t>
            </w:r>
          </w:p>
        </w:tc>
        <w:tc>
          <w:tcPr>
            <w:tcW w:type="dxa" w:w="21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Waste heat from all generation</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400–600 kW thermal</w:t>
            </w:r>
          </w:p>
        </w:tc>
        <w:tc>
          <w:tcPr>
            <w:tcW w:type="dxa" w:w="1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Continuous</w:t>
            </w:r>
          </w:p>
        </w:tc>
      </w:tr>
      <w:tr>
        <w:tc>
          <w:tcPr>
            <w:tcW w:type="dxa" w:w="156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Mobile biodiesel</w:t>
            </w:r>
          </w:p>
        </w:tc>
        <w:tc>
          <w:tcPr>
            <w:tcW w:type="dxa" w:w="21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Used cooking oil processing</w:t>
            </w:r>
          </w:p>
        </w:tc>
        <w:tc>
          <w:tcPr>
            <w:tcW w:type="dxa" w:w="21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Chip shop waste oil</w:t>
            </w:r>
          </w:p>
        </w:tc>
        <w:tc>
          <w:tcPr>
            <w:tcW w:type="dxa" w:w="18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MSRU fleet + backup</w:t>
            </w:r>
          </w:p>
        </w:tc>
        <w:tc>
          <w:tcPr>
            <w:tcW w:type="dxa" w:w="18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As produced</w:t>
            </w:r>
          </w:p>
        </w:tc>
      </w:tr>
    </w:tbl>
    <w:p>
      <w:pPr>
        <w:spacing w:after="0" w:before="100"/>
      </w:pPr>
      <w:r>
        <w:t xml:space="preserve"/>
      </w:r>
    </w:p>
    <w:p>
      <w:pPr>
        <w:pStyle w:val="Heading2"/>
        <w:spacing w:after="120" w:before="280"/>
      </w:pPr>
      <w:r>
        <w:rPr>
          <w:rFonts w:ascii="Arial" w:cs="Arial" w:eastAsia="Arial" w:hAnsi="Arial"/>
          <w:b/>
          <w:bCs/>
          <w:color w:val="0F6E56"/>
          <w:sz w:val="30"/>
          <w:szCs w:val="30"/>
        </w:rPr>
        <w:t xml:space="preserve">The virtuous cycle — full system</w:t>
      </w:r>
    </w:p>
    <w:p>
      <w:pPr>
        <w:spacing w:after="80" w:before="80"/>
      </w:pPr>
      <w:r>
        <w:rPr>
          <w:rFonts w:ascii="Arial" w:cs="Arial" w:eastAsia="Arial" w:hAnsi="Arial"/>
          <w:color w:val="222222"/>
          <w:sz w:val="22"/>
          <w:szCs w:val="22"/>
        </w:rPr>
        <w:t xml:space="preserve">Decommissioned warhead material is downblended to HALEU at the Tier 1 national conversion facility. HALEU fuel is loaded into a sealed Tier 2 microreactor at the manufacturing site. The sealed unit is deployed to The Hub under regulatory and international observer oversight. The unit generates clean baseload power continuously for ten to twenty-five years. That power drives all Line operations: farm, kitchen, go-kart circuit, visitor facilities. Surplus is exported to the National Grid, generating community revenue. The Dave Network distributes dividends, funds MSRU expansion, and rewards community energy participation. At end of life, the sealed unit returns to Tier 1 for fuel recovery. The cycle repeats.</w:t>
      </w:r>
    </w:p>
    <w:p>
      <w:pPr>
        <w:spacing w:after="80" w:before="80"/>
      </w:pPr>
      <w:r>
        <w:rPr>
          <w:rFonts w:ascii="Arial" w:cs="Arial" w:eastAsia="Arial" w:hAnsi="Arial"/>
          <w:color w:val="222222"/>
          <w:sz w:val="22"/>
          <w:szCs w:val="22"/>
        </w:rPr>
        <w:t xml:space="preserve">In parallel: the MSRU clears and maintains The Line corridor, collecting waste streams that feed the MPPU biomass system. The biomass MPPU provides variable generation, supplementing the nuclear baseload and providing fuel-flexible resilience. The combined system — nuclear baseload plus biomass variable plus solar peak — is genuinely energy-independent.</w:t>
      </w:r>
    </w:p>
    <w:p>
      <w:pPr>
        <w:spacing w:after="0" w:before="80"/>
      </w:pPr>
      <w:r>
        <w:t xml:space="preserve"/>
      </w:r>
    </w:p>
    <w:p>
      <w:pPr>
        <w:pStyle w:val="Heading2"/>
        <w:spacing w:after="120" w:before="280"/>
      </w:pPr>
      <w:r>
        <w:rPr>
          <w:rFonts w:ascii="Arial" w:cs="Arial" w:eastAsia="Arial" w:hAnsi="Arial"/>
          <w:b/>
          <w:bCs/>
          <w:color w:val="0F6E56"/>
          <w:sz w:val="30"/>
          <w:szCs w:val="30"/>
        </w:rPr>
        <w:t xml:space="preserve">Employment across the full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744"/>
        <w:gridCol w:w="2340"/>
        <w:gridCol w:w="3276"/>
      </w:tblGrid>
      <w:tr>
        <w:tc>
          <w:tcPr>
            <w:tcW w:type="dxa" w:w="3744"/>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Role category</w:t>
            </w:r>
          </w:p>
        </w:tc>
        <w:tc>
          <w:tcPr>
            <w:tcW w:type="dxa" w:w="2340"/>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System layer</w:t>
            </w:r>
          </w:p>
        </w:tc>
        <w:tc>
          <w:tcPr>
            <w:tcW w:type="dxa" w:w="3276"/>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Approximate numbers</w:t>
            </w:r>
          </w:p>
        </w:tc>
      </w:tr>
      <w:tr>
        <w:tc>
          <w:tcPr>
            <w:tcW w:type="dxa" w:w="3744"/>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MSRU operators and waste sorters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MSRU</w:t>
            </w:r>
          </w:p>
        </w:tc>
        <w:tc>
          <w:tcPr>
            <w:tcW w:type="dxa" w:w="327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~30</w:t>
            </w:r>
          </w:p>
        </w:tc>
      </w:tr>
      <w:tr>
        <w:tc>
          <w:tcPr>
            <w:tcW w:type="dxa" w:w="3744"/>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MPPU biomass operators and fuel processors</w:t>
            </w:r>
          </w:p>
        </w:tc>
        <w:tc>
          <w:tcPr>
            <w:tcW w:type="dxa" w:w="23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MPPU</w:t>
            </w:r>
          </w:p>
        </w:tc>
        <w:tc>
          <w:tcPr>
            <w:tcW w:type="dxa" w:w="3276"/>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~25</w:t>
            </w:r>
          </w:p>
        </w:tc>
      </w:tr>
      <w:tr>
        <w:tc>
          <w:tcPr>
            <w:tcW w:type="dxa" w:w="3744"/>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Electrical and mechanical technicians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MPPU / MPPU-N</w:t>
            </w:r>
          </w:p>
        </w:tc>
        <w:tc>
          <w:tcPr>
            <w:tcW w:type="dxa" w:w="327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~15</w:t>
            </w:r>
          </w:p>
        </w:tc>
      </w:tr>
      <w:tr>
        <w:tc>
          <w:tcPr>
            <w:tcW w:type="dxa" w:w="3744"/>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Nuclear technicians and reactor operators</w:t>
            </w:r>
          </w:p>
        </w:tc>
        <w:tc>
          <w:tcPr>
            <w:tcW w:type="dxa" w:w="23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MPPU-N</w:t>
            </w:r>
          </w:p>
        </w:tc>
        <w:tc>
          <w:tcPr>
            <w:tcW w:type="dxa" w:w="3276"/>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~20</w:t>
            </w:r>
          </w:p>
        </w:tc>
      </w:tr>
      <w:tr>
        <w:tc>
          <w:tcPr>
            <w:tcW w:type="dxa" w:w="3744"/>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Radiation protection and safety officers</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MPPU-N</w:t>
            </w:r>
          </w:p>
        </w:tc>
        <w:tc>
          <w:tcPr>
            <w:tcW w:type="dxa" w:w="327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~10</w:t>
            </w:r>
          </w:p>
        </w:tc>
      </w:tr>
      <w:tr>
        <w:tc>
          <w:tcPr>
            <w:tcW w:type="dxa" w:w="3744"/>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Grid integration and control room</w:t>
            </w:r>
          </w:p>
        </w:tc>
        <w:tc>
          <w:tcPr>
            <w:tcW w:type="dxa" w:w="23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All layers</w:t>
            </w:r>
          </w:p>
        </w:tc>
        <w:tc>
          <w:tcPr>
            <w:tcW w:type="dxa" w:w="3276"/>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~10</w:t>
            </w:r>
          </w:p>
        </w:tc>
      </w:tr>
      <w:tr>
        <w:tc>
          <w:tcPr>
            <w:tcW w:type="dxa" w:w="3744"/>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Dave Network administrators and community liaison</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All layers</w:t>
            </w:r>
          </w:p>
        </w:tc>
        <w:tc>
          <w:tcPr>
            <w:tcW w:type="dxa" w:w="327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~10</w:t>
            </w:r>
          </w:p>
        </w:tc>
      </w:tr>
      <w:tr>
        <w:tc>
          <w:tcPr>
            <w:tcW w:type="dxa" w:w="3744"/>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Training programme delivery (national)</w:t>
            </w:r>
          </w:p>
        </w:tc>
        <w:tc>
          <w:tcPr>
            <w:tcW w:type="dxa" w:w="23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All layers</w:t>
            </w:r>
          </w:p>
        </w:tc>
        <w:tc>
          <w:tcPr>
            <w:tcW w:type="dxa" w:w="3276"/>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~10</w:t>
            </w:r>
          </w:p>
        </w:tc>
      </w:tr>
      <w:tr>
        <w:tc>
          <w:tcPr>
            <w:tcW w:type="dxa" w:w="3744"/>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Fuel logistics and custody chain</w:t>
            </w:r>
          </w:p>
        </w:tc>
        <w:tc>
          <w:tcPr>
            <w:tcW w:type="dxa" w:w="23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MPPU-N</w:t>
            </w:r>
          </w:p>
        </w:tc>
        <w:tc>
          <w:tcPr>
            <w:tcW w:type="dxa" w:w="327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~8</w:t>
            </w:r>
          </w:p>
        </w:tc>
      </w:tr>
      <w:tr>
        <w:tc>
          <w:tcPr>
            <w:tcW w:type="dxa" w:w="3744"/>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Total direct employment</w:t>
            </w:r>
          </w:p>
        </w:tc>
        <w:tc>
          <w:tcPr>
            <w:tcW w:type="dxa" w:w="23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
            </w:r>
          </w:p>
        </w:tc>
        <w:tc>
          <w:tcPr>
            <w:tcW w:type="dxa" w:w="3276"/>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~138</w:t>
            </w:r>
          </w:p>
        </w:tc>
      </w:tr>
    </w:tbl>
    <w:p>
      <w:pPr>
        <w:spacing w:after="0" w:before="60"/>
      </w:pPr>
      <w:r>
        <w:t xml:space="preserve"/>
      </w:r>
    </w:p>
    <w:p>
      <w:pPr>
        <w:spacing w:after="80" w:before="80"/>
      </w:pPr>
      <w:r>
        <w:rPr>
          <w:rFonts w:ascii="Arial" w:cs="Arial" w:eastAsia="Arial" w:hAnsi="Arial"/>
          <w:color w:val="222222"/>
          <w:sz w:val="22"/>
          <w:szCs w:val="22"/>
        </w:rPr>
        <w:t xml:space="preserve">Plus significant indirect employment in home solar installation, energy efficiency retrofitting, community battery installation, electrical contracting, energy auditing, and the supply chain for sealed reactor maintenance across the national network.</w:t>
      </w:r>
    </w:p>
    <w:p>
      <w:r>
        <w:br w:type="page"/>
      </w:r>
    </w:p>
    <w:p>
      <w:pPr>
        <w:pStyle w:val="Heading1"/>
        <w:spacing w:after="160" w:before="400"/>
      </w:pPr>
      <w:r>
        <w:rPr>
          <w:rFonts w:ascii="Arial" w:cs="Arial" w:eastAsia="Arial" w:hAnsi="Arial"/>
          <w:b/>
          <w:bCs/>
          <w:color w:val="1B3A5C"/>
          <w:sz w:val="40"/>
          <w:szCs w:val="40"/>
        </w:rPr>
        <w:t xml:space="preserve">Part Seven: National Scalability</w:t>
      </w:r>
    </w:p>
    <w:p>
      <w:pPr>
        <w:pBdr>
          <w:bottom w:val="single" w:color="1B3A5C" w:sz="6" w:space="1"/>
        </w:pBdr>
        <w:spacing w:after="200" w:before="200"/>
      </w:pPr>
      <w:r>
        <w:t xml:space="preserve"/>
      </w:r>
    </w:p>
    <w:p>
      <w:pPr>
        <w:pStyle w:val="Heading2"/>
        <w:spacing w:after="120" w:before="280"/>
      </w:pPr>
      <w:r>
        <w:rPr>
          <w:rFonts w:ascii="Arial" w:cs="Arial" w:eastAsia="Arial" w:hAnsi="Arial"/>
          <w:b/>
          <w:bCs/>
          <w:color w:val="0F6E56"/>
          <w:sz w:val="30"/>
          <w:szCs w:val="30"/>
        </w:rPr>
        <w:t xml:space="preserve">North Liverpool is the proof of concept</w:t>
      </w:r>
    </w:p>
    <w:p>
      <w:pPr>
        <w:spacing w:after="80" w:before="80"/>
      </w:pPr>
      <w:r>
        <w:rPr>
          <w:rFonts w:ascii="Arial" w:cs="Arial" w:eastAsia="Arial" w:hAnsi="Arial"/>
          <w:color w:val="222222"/>
          <w:sz w:val="22"/>
          <w:szCs w:val="22"/>
        </w:rPr>
        <w:t xml:space="preserve">Once the integrated system is operational in North Liverpool — once a community has demonstrated energy independence from its own waste streams and converted weapons material, created skilled local employment, and returned surplus revenue to residents — the question every council in England will be asking is: can you do this here?</w:t>
      </w:r>
    </w:p>
    <w:p>
      <w:pPr>
        <w:spacing w:after="80" w:before="80"/>
      </w:pPr>
      <w:r>
        <w:rPr>
          <w:rFonts w:ascii="Arial" w:cs="Arial" w:eastAsia="Arial" w:hAnsi="Arial"/>
          <w:color w:val="222222"/>
          <w:sz w:val="22"/>
          <w:szCs w:val="22"/>
        </w:rPr>
        <w:t xml:space="preserve">The answer is yes. Every borough produces waste. Every borough could generate power from it. Every community is at the end of the same long transmission lines. The model is replicable, licensable, and scalable.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16"/>
        <w:gridCol w:w="3744"/>
      </w:tblGrid>
      <w:tr>
        <w:tc>
          <w:tcPr>
            <w:tcW w:type="dxa" w:w="5616"/>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Scale metric</w:t>
            </w:r>
          </w:p>
        </w:tc>
        <w:tc>
          <w:tcPr>
            <w:tcW w:type="dxa" w:w="3744"/>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Value</w:t>
            </w:r>
          </w:p>
        </w:tc>
      </w:tr>
      <w:tr>
        <w:tc>
          <w:tcPr>
            <w:tcW w:type="dxa" w:w="561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UK local authorities</w:t>
            </w:r>
          </w:p>
        </w:tc>
        <w:tc>
          <w:tcPr>
            <w:tcW w:type="dxa" w:w="3744"/>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339</w:t>
            </w:r>
          </w:p>
        </w:tc>
      </w:tr>
      <w:tr>
        <w:tc>
          <w:tcPr>
            <w:tcW w:type="dxa" w:w="5616"/>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Global nuclear warheads (2026 estimate)</w:t>
            </w:r>
          </w:p>
        </w:tc>
        <w:tc>
          <w:tcPr>
            <w:tcW w:type="dxa" w:w="3744"/>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~12,000</w:t>
            </w:r>
          </w:p>
        </w:tc>
      </w:tr>
      <w:tr>
        <w:tc>
          <w:tcPr>
            <w:tcW w:type="dxa" w:w="561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Warheads scheduled for decommissioning (next 20 years)</w:t>
            </w:r>
          </w:p>
        </w:tc>
        <w:tc>
          <w:tcPr>
            <w:tcW w:type="dxa" w:w="3744"/>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~3,000–5,000</w:t>
            </w:r>
          </w:p>
        </w:tc>
      </w:tr>
      <w:tr>
        <w:tc>
          <w:tcPr>
            <w:tcW w:type="dxa" w:w="5616"/>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Energy equivalent per warhead (as HALEU fuel)</w:t>
            </w:r>
          </w:p>
        </w:tc>
        <w:tc>
          <w:tcPr>
            <w:tcW w:type="dxa" w:w="3744"/>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~10–15 years of power for 1,000 homes</w:t>
            </w:r>
          </w:p>
        </w:tc>
      </w:tr>
      <w:tr>
        <w:tc>
          <w:tcPr>
            <w:tcW w:type="dxa" w:w="561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UK households in energy poverty</w:t>
            </w:r>
          </w:p>
        </w:tc>
        <w:tc>
          <w:tcPr>
            <w:tcW w:type="dxa" w:w="3744"/>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Millions</w:t>
            </w:r>
          </w:p>
        </w:tc>
      </w:tr>
      <w:tr>
        <w:tc>
          <w:tcPr>
            <w:tcW w:type="dxa" w:w="5616"/>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Total waste biomass available nationally</w:t>
            </w:r>
          </w:p>
        </w:tc>
        <w:tc>
          <w:tcPr>
            <w:tcW w:type="dxa" w:w="3744"/>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15 million tonnes per year</w:t>
            </w:r>
          </w:p>
        </w:tc>
      </w:tr>
      <w:tr>
        <w:tc>
          <w:tcPr>
            <w:tcW w:type="dxa" w:w="561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Current waste-to-energy capture rate</w:t>
            </w:r>
          </w:p>
        </w:tc>
        <w:tc>
          <w:tcPr>
            <w:tcW w:type="dxa" w:w="3744"/>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Less than 20%</w:t>
            </w:r>
          </w:p>
        </w:tc>
      </w:tr>
      <w:tr>
        <w:tc>
          <w:tcPr>
            <w:tcW w:type="dxa" w:w="5616"/>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Potential MPPU biomass deployment sites across UK</w:t>
            </w:r>
          </w:p>
        </w:tc>
        <w:tc>
          <w:tcPr>
            <w:tcW w:type="dxa" w:w="3744"/>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Hundreds</w:t>
            </w:r>
          </w:p>
        </w:tc>
      </w:tr>
      <w:tr>
        <w:tc>
          <w:tcPr>
            <w:tcW w:type="dxa" w:w="5616"/>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Potential MPPU-N sites (industrial, nuclear-adjacent)</w:t>
            </w:r>
          </w:p>
        </w:tc>
        <w:tc>
          <w:tcPr>
            <w:tcW w:type="dxa" w:w="3744"/>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Dozens to hundreds</w:t>
            </w:r>
          </w:p>
        </w:tc>
      </w:tr>
    </w:tbl>
    <w:p>
      <w:pPr>
        <w:spacing w:after="0" w:before="100"/>
      </w:pPr>
      <w:r>
        <w:t xml:space="preserve"/>
      </w:r>
    </w:p>
    <w:p>
      <w:pPr>
        <w:pStyle w:val="Heading2"/>
        <w:spacing w:after="120" w:before="280"/>
      </w:pPr>
      <w:r>
        <w:rPr>
          <w:rFonts w:ascii="Arial" w:cs="Arial" w:eastAsia="Arial" w:hAnsi="Arial"/>
          <w:b/>
          <w:bCs/>
          <w:color w:val="0F6E56"/>
          <w:sz w:val="30"/>
          <w:szCs w:val="30"/>
        </w:rPr>
        <w:t xml:space="preserve">The pitch to any council, anywhere in England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8F4F8" w:val="clear"/>
            <w:tcMar>
              <w:top w:type="dxa" w:w="200"/>
              <w:left w:type="dxa" w:w="280"/>
              <w:bottom w:type="dxa" w:w="200"/>
              <w:right w:type="dxa" w:w="280"/>
            </w:tcMar>
          </w:tcPr>
          <w:p>
            <w:r>
              <w:rPr>
                <w:rFonts w:ascii="Arial" w:cs="Arial" w:eastAsia="Arial" w:hAnsi="Arial"/>
                <w:b/>
                <w:bCs/>
                <w:i/>
                <w:iCs/>
                <w:color w:val="1B3A5C"/>
                <w:sz w:val="26"/>
                <w:szCs w:val="26"/>
              </w:rPr>
              <w:t xml:space="preserve">Your borough produces waste. You currently pay to dispose of it. You also pay for electricity. We change both equations. Your waste becomes your power. Your disposal cost becomes your generation revenue. Your residents’ bills go down. The surplus stays local. You’ve seen what was built in North Liverpool. A dumping ground became a power plant. We can do that in your borough.</w:t>
            </w:r>
          </w:p>
        </w:tc>
      </w:tr>
    </w:tbl>
    <w:p>
      <w:pPr>
        <w:spacing w:after="0" w:before="100"/>
      </w:pPr>
      <w:r>
        <w:t xml:space="preserve"/>
      </w:r>
    </w:p>
    <w:p>
      <w:pPr>
        <w:pStyle w:val="Heading2"/>
        <w:spacing w:after="120" w:before="280"/>
      </w:pPr>
      <w:r>
        <w:rPr>
          <w:rFonts w:ascii="Arial" w:cs="Arial" w:eastAsia="Arial" w:hAnsi="Arial"/>
          <w:b/>
          <w:bCs/>
          <w:color w:val="0F6E56"/>
          <w:sz w:val="30"/>
          <w:szCs w:val="30"/>
        </w:rPr>
        <w:t xml:space="preserve">Four national revenue streams</w:t>
      </w:r>
    </w:p>
    <w:p>
      <w:pPr>
        <w:spacing w:after="80" w:before="200"/>
      </w:pPr>
      <w:r>
        <w:rPr>
          <w:rFonts w:ascii="Arial" w:cs="Arial" w:eastAsia="Arial" w:hAnsi="Arial"/>
          <w:b/>
          <w:bCs/>
          <w:color w:val="2E4057"/>
          <w:sz w:val="24"/>
          <w:szCs w:val="24"/>
        </w:rPr>
        <w:t xml:space="preserve">1. MPPU and MPPU-N unit licensing</w:t>
      </w:r>
    </w:p>
    <w:p>
      <w:pPr>
        <w:spacing w:after="80" w:before="80"/>
      </w:pPr>
      <w:r>
        <w:rPr>
          <w:rFonts w:ascii="Arial" w:cs="Arial" w:eastAsia="Arial" w:hAnsi="Arial"/>
          <w:color w:val="222222"/>
          <w:sz w:val="22"/>
          <w:szCs w:val="22"/>
        </w:rPr>
        <w:t xml:space="preserve">Container units licensed, leased, or sold to councils and community energy cooperatives. Every borough produces waste. Every borough could be generating power from it instead of paying for disposal.</w:t>
      </w:r>
    </w:p>
    <w:p>
      <w:pPr>
        <w:spacing w:after="80" w:before="200"/>
      </w:pPr>
      <w:r>
        <w:rPr>
          <w:rFonts w:ascii="Arial" w:cs="Arial" w:eastAsia="Arial" w:hAnsi="Arial"/>
          <w:b/>
          <w:bCs/>
          <w:color w:val="2E4057"/>
          <w:sz w:val="24"/>
          <w:szCs w:val="24"/>
        </w:rPr>
        <w:t xml:space="preserve">2. Microgrid-as-a-Service platform</w:t>
      </w:r>
    </w:p>
    <w:p>
      <w:pPr>
        <w:spacing w:after="80" w:before="80"/>
      </w:pPr>
      <w:r>
        <w:rPr>
          <w:rFonts w:ascii="Arial" w:cs="Arial" w:eastAsia="Arial" w:hAnsi="Arial"/>
          <w:color w:val="222222"/>
          <w:sz w:val="22"/>
          <w:szCs w:val="22"/>
        </w:rPr>
        <w:t xml:space="preserve">The control systems, peer-to-peer trading platform, and Dave Network energy app as a SaaS product. Communities subscribe. Energy cooperatives subscribe. The platform gets smarter with every deployment.</w:t>
      </w:r>
    </w:p>
    <w:p>
      <w:pPr>
        <w:spacing w:after="80" w:before="200"/>
      </w:pPr>
      <w:r>
        <w:rPr>
          <w:rFonts w:ascii="Arial" w:cs="Arial" w:eastAsia="Arial" w:hAnsi="Arial"/>
          <w:b/>
          <w:bCs/>
          <w:color w:val="2E4057"/>
          <w:sz w:val="24"/>
          <w:szCs w:val="24"/>
        </w:rPr>
        <w:t xml:space="preserve">3. Operator training programme</w:t>
      </w:r>
    </w:p>
    <w:p>
      <w:pPr>
        <w:spacing w:after="80" w:before="80"/>
      </w:pPr>
      <w:r>
        <w:rPr>
          <w:rFonts w:ascii="Arial" w:cs="Arial" w:eastAsia="Arial" w:hAnsi="Arial"/>
          <w:color w:val="222222"/>
          <w:sz w:val="22"/>
          <w:szCs w:val="22"/>
        </w:rPr>
        <w:t xml:space="preserve">Nationally accredited energy operator, technician, and nuclear technician certification. Delivered by people trained in North Liverpool. Creates skilled, well-paid energy jobs in every community that deploys an MPPU or MPPU-N unit.</w:t>
      </w:r>
    </w:p>
    <w:p>
      <w:pPr>
        <w:spacing w:after="80" w:before="200"/>
      </w:pPr>
      <w:r>
        <w:rPr>
          <w:rFonts w:ascii="Arial" w:cs="Arial" w:eastAsia="Arial" w:hAnsi="Arial"/>
          <w:b/>
          <w:bCs/>
          <w:color w:val="2E4057"/>
          <w:sz w:val="24"/>
          <w:szCs w:val="24"/>
        </w:rPr>
        <w:t xml:space="preserve">4. The community energy data business</w:t>
      </w:r>
    </w:p>
    <w:p>
      <w:pPr>
        <w:spacing w:after="80" w:before="80"/>
      </w:pPr>
      <w:r>
        <w:rPr>
          <w:rFonts w:ascii="Arial" w:cs="Arial" w:eastAsia="Arial" w:hAnsi="Arial"/>
          <w:color w:val="222222"/>
          <w:sz w:val="22"/>
          <w:szCs w:val="22"/>
        </w:rPr>
        <w:t xml:space="preserve">After 100 biomass installations and 50 nuclear deployments, the most comprehensive community-scale energy dataset in England. Revenue optimisation algorithms. Fuel value tracking. Demand response strategies. Worth significant money to energy companies, grid operators, regulators, and international agencies seeking to replicate the model.</w:t>
      </w:r>
    </w:p>
    <w:p>
      <w:r>
        <w:br w:type="page"/>
      </w:r>
    </w:p>
    <w:p>
      <w:pPr>
        <w:pStyle w:val="Heading1"/>
        <w:spacing w:after="160" w:before="400"/>
      </w:pPr>
      <w:r>
        <w:rPr>
          <w:rFonts w:ascii="Arial" w:cs="Arial" w:eastAsia="Arial" w:hAnsi="Arial"/>
          <w:b/>
          <w:bCs/>
          <w:color w:val="1B3A5C"/>
          <w:sz w:val="40"/>
          <w:szCs w:val="40"/>
        </w:rPr>
        <w:t xml:space="preserve">Part Eight: Development Timeline</w:t>
      </w:r>
    </w:p>
    <w:p>
      <w:pPr>
        <w:pBdr>
          <w:bottom w:val="single" w:color="854F0B" w:sz="6" w:space="1"/>
        </w:pBdr>
        <w:spacing w:after="20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80"/>
        <w:gridCol w:w="1440"/>
        <w:gridCol w:w="6240"/>
      </w:tblGrid>
      <w:tr>
        <w:tc>
          <w:tcPr>
            <w:tcW w:type="dxa" w:w="1680"/>
            <w:tcBorders>
              <w:top w:val="single" w:color="CCCCCC" w:sz="1"/>
              <w:left w:val="single" w:color="CCCCCC" w:sz="1"/>
              <w:bottom w:val="single" w:color="CCCCCC" w:sz="1"/>
              <w:right w:val="single" w:color="CCCCCC" w:sz="1"/>
            </w:tcBorders>
            <w:shd w:fill="854F0B" w:val="clear"/>
            <w:tcMar>
              <w:top w:type="dxa" w:w="100"/>
              <w:left w:type="dxa" w:w="140"/>
              <w:bottom w:type="dxa" w:w="100"/>
              <w:right w:type="dxa" w:w="140"/>
            </w:tcMar>
          </w:tcPr>
          <w:p>
            <w:r>
              <w:rPr>
                <w:rFonts w:ascii="Arial" w:cs="Arial" w:eastAsia="Arial" w:hAnsi="Arial"/>
                <w:b/>
                <w:bCs/>
                <w:color w:val="FFFFFF"/>
                <w:sz w:val="20"/>
                <w:szCs w:val="20"/>
              </w:rPr>
              <w:t xml:space="preserve">Phase</w:t>
            </w:r>
          </w:p>
        </w:tc>
        <w:tc>
          <w:tcPr>
            <w:tcW w:type="dxa" w:w="1440"/>
            <w:tcBorders>
              <w:top w:val="single" w:color="CCCCCC" w:sz="1"/>
              <w:left w:val="single" w:color="CCCCCC" w:sz="1"/>
              <w:bottom w:val="single" w:color="CCCCCC" w:sz="1"/>
              <w:right w:val="single" w:color="CCCCCC" w:sz="1"/>
            </w:tcBorders>
            <w:shd w:fill="854F0B" w:val="clear"/>
            <w:tcMar>
              <w:top w:type="dxa" w:w="100"/>
              <w:left w:type="dxa" w:w="140"/>
              <w:bottom w:type="dxa" w:w="100"/>
              <w:right w:type="dxa" w:w="140"/>
            </w:tcMar>
          </w:tcPr>
          <w:p>
            <w:r>
              <w:rPr>
                <w:rFonts w:ascii="Arial" w:cs="Arial" w:eastAsia="Arial" w:hAnsi="Arial"/>
                <w:b/>
                <w:bCs/>
                <w:color w:val="FFFFFF"/>
                <w:sz w:val="20"/>
                <w:szCs w:val="20"/>
              </w:rPr>
              <w:t xml:space="preserve">Timeframe</w:t>
            </w:r>
          </w:p>
        </w:tc>
        <w:tc>
          <w:tcPr>
            <w:tcW w:type="dxa" w:w="6240"/>
            <w:tcBorders>
              <w:top w:val="single" w:color="CCCCCC" w:sz="1"/>
              <w:left w:val="single" w:color="CCCCCC" w:sz="1"/>
              <w:bottom w:val="single" w:color="CCCCCC" w:sz="1"/>
              <w:right w:val="single" w:color="CCCCCC" w:sz="1"/>
            </w:tcBorders>
            <w:shd w:fill="854F0B" w:val="clear"/>
            <w:tcMar>
              <w:top w:type="dxa" w:w="100"/>
              <w:left w:type="dxa" w:w="140"/>
              <w:bottom w:type="dxa" w:w="100"/>
              <w:right w:type="dxa" w:w="140"/>
            </w:tcMar>
          </w:tcPr>
          <w:p>
            <w:r>
              <w:rPr>
                <w:rFonts w:ascii="Arial" w:cs="Arial" w:eastAsia="Arial" w:hAnsi="Arial"/>
                <w:b/>
                <w:bCs/>
                <w:color w:val="FFFFFF"/>
                <w:sz w:val="20"/>
                <w:szCs w:val="20"/>
              </w:rPr>
              <w:t xml:space="preserve">Key activities</w:t>
            </w:r>
          </w:p>
        </w:tc>
      </w:tr>
      <w:tr>
        <w:tc>
          <w:tcPr>
            <w:tcW w:type="dxa" w:w="1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1. Feasibility and engagement</w:t>
            </w:r>
          </w:p>
        </w:tc>
        <w:tc>
          <w:tcPr>
            <w:tcW w:type="dxa" w:w="14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Months 1–6</w:t>
            </w:r>
          </w:p>
        </w:tc>
        <w:tc>
          <w:tcPr>
            <w:tcW w:type="dxa" w:w="62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Waste stream analysis. Grid connection assessment. ONR preliminary engagement. International disarmament fund application. Independent feasibility study commissioned.</w:t>
            </w:r>
          </w:p>
        </w:tc>
      </w:tr>
      <w:tr>
        <w:tc>
          <w:tcPr>
            <w:tcW w:type="dxa" w:w="16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2. MSRU deployment</w:t>
            </w:r>
          </w:p>
        </w:tc>
        <w:tc>
          <w:tcPr>
            <w:tcW w:type="dxa" w:w="14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Months 3–12</w:t>
            </w:r>
          </w:p>
        </w:tc>
        <w:tc>
          <w:tcPr>
            <w:tcW w:type="dxa" w:w="62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MSRU operational on The Line corridor. Community engagement via Dave Network. Waste stream characterisation. Revenue generation begins from recycling commodity sales.</w:t>
            </w:r>
          </w:p>
        </w:tc>
      </w:tr>
      <w:tr>
        <w:tc>
          <w:tcPr>
            <w:tcW w:type="dxa" w:w="1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3. MPPU biomass deployment</w:t>
            </w:r>
          </w:p>
        </w:tc>
        <w:tc>
          <w:tcPr>
            <w:tcW w:type="dxa" w:w="14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Months 6–18</w:t>
            </w:r>
          </w:p>
        </w:tc>
        <w:tc>
          <w:tcPr>
            <w:tcW w:type="dxa" w:w="62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First container units installed at The Hub. Biomass gasification and biogas systems commissioned. Community microgrid goes live. First energy dividend payments.</w:t>
            </w:r>
          </w:p>
        </w:tc>
      </w:tr>
      <w:tr>
        <w:tc>
          <w:tcPr>
            <w:tcW w:type="dxa" w:w="16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4. Solar and battery layer</w:t>
            </w:r>
          </w:p>
        </w:tc>
        <w:tc>
          <w:tcPr>
            <w:tcW w:type="dxa" w:w="14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Months 12–24</w:t>
            </w:r>
          </w:p>
        </w:tc>
        <w:tc>
          <w:tcPr>
            <w:tcW w:type="dxa" w:w="62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Container-roof solar arrays installed. Containerised battery storage at corridor nodes. Demand response platform operational.</w:t>
            </w:r>
          </w:p>
        </w:tc>
      </w:tr>
      <w:tr>
        <w:tc>
          <w:tcPr>
            <w:tcW w:type="dxa" w:w="1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5. GDA partnership</w:t>
            </w:r>
          </w:p>
        </w:tc>
        <w:tc>
          <w:tcPr>
            <w:tcW w:type="dxa" w:w="14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Months 6–48</w:t>
            </w:r>
          </w:p>
        </w:tc>
        <w:tc>
          <w:tcPr>
            <w:tcW w:type="dxa" w:w="62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Partner with Rolls-Royce SMR or Urenco U-Battery as community deployment case study. Participate in ONR Generic Design Assessment process.</w:t>
            </w:r>
          </w:p>
        </w:tc>
      </w:tr>
      <w:tr>
        <w:tc>
          <w:tcPr>
            <w:tcW w:type="dxa" w:w="16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6. MPPU-N site preparation</w:t>
            </w:r>
          </w:p>
        </w:tc>
        <w:tc>
          <w:tcPr>
            <w:tcW w:type="dxa" w:w="14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Months 24–48</w:t>
            </w:r>
          </w:p>
        </w:tc>
        <w:tc>
          <w:tcPr>
            <w:tcW w:type="dxa" w:w="62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Planning consent secured for nuclear-capable site. Security perimeter, monitoring systems, and enhanced grid connection installed.</w:t>
            </w:r>
          </w:p>
        </w:tc>
      </w:tr>
      <w:tr>
        <w:tc>
          <w:tcPr>
            <w:tcW w:type="dxa" w:w="168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7. MPPU-N Tier 2 deployment</w:t>
            </w:r>
          </w:p>
        </w:tc>
        <w:tc>
          <w:tcPr>
            <w:tcW w:type="dxa" w:w="14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Year 4–5</w:t>
            </w:r>
          </w:p>
        </w:tc>
        <w:tc>
          <w:tcPr>
            <w:tcW w:type="dxa" w:w="624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First sealed microreactor unit delivered, connected, and commissioned at The Hub. Community microgrid goes fully nuclear-biomass hybrid. Full energy independence achieved.</w:t>
            </w:r>
          </w:p>
        </w:tc>
      </w:tr>
      <w:tr>
        <w:tc>
          <w:tcPr>
            <w:tcW w:type="dxa" w:w="168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8. National rollout</w:t>
            </w:r>
          </w:p>
        </w:tc>
        <w:tc>
          <w:tcPr>
            <w:tcW w:type="dxa" w:w="14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Year 5+</w:t>
            </w:r>
          </w:p>
        </w:tc>
        <w:tc>
          <w:tcPr>
            <w:tcW w:type="dxa" w:w="624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North Liverpool model licensed to other communities. National fuel conversion facility operational. MPPU-N network scaling across UK.</w:t>
            </w:r>
          </w:p>
        </w:tc>
      </w:tr>
    </w:tbl>
    <w:p>
      <w:r>
        <w:br w:type="page"/>
      </w:r>
    </w:p>
    <w:p>
      <w:pPr>
        <w:pStyle w:val="Heading1"/>
        <w:spacing w:after="160" w:before="400"/>
      </w:pPr>
      <w:r>
        <w:rPr>
          <w:rFonts w:ascii="Arial" w:cs="Arial" w:eastAsia="Arial" w:hAnsi="Arial"/>
          <w:b/>
          <w:bCs/>
          <w:color w:val="1B3A5C"/>
          <w:sz w:val="40"/>
          <w:szCs w:val="40"/>
        </w:rPr>
        <w:t xml:space="preserve">Part Nine: Funding Sources</w:t>
      </w:r>
    </w:p>
    <w:p>
      <w:pPr>
        <w:pBdr>
          <w:bottom w:val="single" w:color="0F6E56" w:sz="6" w:space="1"/>
        </w:pBdr>
        <w:spacing w:after="200" w:before="200"/>
      </w:pPr>
      <w:r>
        <w:t xml:space="preserve"/>
      </w:r>
    </w:p>
    <w:p>
      <w:pPr>
        <w:pStyle w:val="Heading2"/>
        <w:spacing w:after="120" w:before="280"/>
      </w:pPr>
      <w:r>
        <w:rPr>
          <w:rFonts w:ascii="Arial" w:cs="Arial" w:eastAsia="Arial" w:hAnsi="Arial"/>
          <w:b/>
          <w:bCs/>
          <w:color w:val="0F6E56"/>
          <w:sz w:val="30"/>
          <w:szCs w:val="30"/>
        </w:rPr>
        <w:t xml:space="preserve">Capital funding</w:t>
      </w:r>
    </w:p>
    <w:p>
      <w:pPr>
        <w:pStyle w:val="ListParagraph"/>
        <w:numPr>
          <w:ilvl w:val="0"/>
          <w:numId w:val="2"/>
        </w:numPr>
        <w:spacing w:after="60" w:before="60"/>
      </w:pPr>
      <w:r>
        <w:rPr>
          <w:rFonts w:ascii="Arial" w:cs="Arial" w:eastAsia="Arial" w:hAnsi="Arial"/>
          <w:color w:val="222222"/>
          <w:sz w:val="22"/>
          <w:szCs w:val="22"/>
        </w:rPr>
        <w:t xml:space="preserve">UK Infrastructure Bank — green infrastructure lending</w:t>
      </w:r>
    </w:p>
    <w:p>
      <w:pPr>
        <w:pStyle w:val="ListParagraph"/>
        <w:numPr>
          <w:ilvl w:val="0"/>
          <w:numId w:val="2"/>
        </w:numPr>
        <w:spacing w:after="60" w:before="60"/>
      </w:pPr>
      <w:r>
        <w:rPr>
          <w:rFonts w:ascii="Arial" w:cs="Arial" w:eastAsia="Arial" w:hAnsi="Arial"/>
          <w:color w:val="222222"/>
          <w:sz w:val="22"/>
          <w:szCs w:val="22"/>
        </w:rPr>
        <w:t xml:space="preserve">Community Ownership Fund — community energy assets</w:t>
      </w:r>
    </w:p>
    <w:p>
      <w:pPr>
        <w:pStyle w:val="ListParagraph"/>
        <w:numPr>
          <w:ilvl w:val="0"/>
          <w:numId w:val="2"/>
        </w:numPr>
        <w:spacing w:after="60" w:before="60"/>
      </w:pPr>
      <w:r>
        <w:rPr>
          <w:rFonts w:ascii="Arial" w:cs="Arial" w:eastAsia="Arial" w:hAnsi="Arial"/>
          <w:color w:val="222222"/>
          <w:sz w:val="22"/>
          <w:szCs w:val="22"/>
        </w:rPr>
        <w:t xml:space="preserve">Rural Community Energy Fund — distributed generation</w:t>
      </w:r>
    </w:p>
    <w:p>
      <w:pPr>
        <w:pStyle w:val="ListParagraph"/>
        <w:numPr>
          <w:ilvl w:val="0"/>
          <w:numId w:val="2"/>
        </w:numPr>
        <w:spacing w:after="60" w:before="60"/>
      </w:pPr>
      <w:r>
        <w:rPr>
          <w:rFonts w:ascii="Arial" w:cs="Arial" w:eastAsia="Arial" w:hAnsi="Arial"/>
          <w:color w:val="222222"/>
          <w:sz w:val="22"/>
          <w:szCs w:val="22"/>
        </w:rPr>
        <w:t xml:space="preserve">Innovate UK — waste-to-energy and advanced nuclear innovation</w:t>
      </w:r>
    </w:p>
    <w:p>
      <w:pPr>
        <w:pStyle w:val="ListParagraph"/>
        <w:numPr>
          <w:ilvl w:val="0"/>
          <w:numId w:val="2"/>
        </w:numPr>
        <w:spacing w:after="60" w:before="60"/>
      </w:pPr>
      <w:r>
        <w:rPr>
          <w:rFonts w:ascii="Arial" w:cs="Arial" w:eastAsia="Arial" w:hAnsi="Arial"/>
          <w:color w:val="222222"/>
          <w:sz w:val="22"/>
          <w:szCs w:val="22"/>
        </w:rPr>
        <w:t xml:space="preserve">Green Finance Institute — community energy investment</w:t>
      </w:r>
    </w:p>
    <w:p>
      <w:pPr>
        <w:pStyle w:val="ListParagraph"/>
        <w:numPr>
          <w:ilvl w:val="0"/>
          <w:numId w:val="2"/>
        </w:numPr>
        <w:spacing w:after="60" w:before="60"/>
      </w:pPr>
      <w:r>
        <w:rPr>
          <w:rFonts w:ascii="Arial" w:cs="Arial" w:eastAsia="Arial" w:hAnsi="Arial"/>
          <w:color w:val="222222"/>
          <w:sz w:val="22"/>
          <w:szCs w:val="22"/>
        </w:rPr>
        <w:t xml:space="preserve">Community share offer — local investment in community-owned infrastructure</w:t>
      </w:r>
    </w:p>
    <w:p>
      <w:pPr>
        <w:pStyle w:val="ListParagraph"/>
        <w:numPr>
          <w:ilvl w:val="0"/>
          <w:numId w:val="2"/>
        </w:numPr>
        <w:spacing w:after="60" w:before="60"/>
      </w:pPr>
      <w:r>
        <w:rPr>
          <w:rFonts w:ascii="Arial" w:cs="Arial" w:eastAsia="Arial" w:hAnsi="Arial"/>
          <w:color w:val="222222"/>
          <w:sz w:val="22"/>
          <w:szCs w:val="22"/>
        </w:rPr>
        <w:t xml:space="preserve">MSRU revenue reinvestment — self-funding from waste operations</w:t>
      </w:r>
    </w:p>
    <w:p>
      <w:pPr>
        <w:pStyle w:val="ListParagraph"/>
        <w:numPr>
          <w:ilvl w:val="0"/>
          <w:numId w:val="2"/>
        </w:numPr>
        <w:spacing w:after="60" w:before="60"/>
      </w:pPr>
      <w:r>
        <w:rPr>
          <w:rFonts w:ascii="Arial" w:cs="Arial" w:eastAsia="Arial" w:hAnsi="Arial"/>
          <w:color w:val="222222"/>
          <w:sz w:val="22"/>
          <w:szCs w:val="22"/>
        </w:rPr>
        <w:t xml:space="preserve">International disarmament fund mechanisms — MPPU-N as demonstration project for weapons-to-energy conversion</w:t>
      </w:r>
    </w:p>
    <w:p>
      <w:pPr>
        <w:spacing w:after="0" w:before="80"/>
      </w:pPr>
      <w:r>
        <w:t xml:space="preserve"/>
      </w:r>
    </w:p>
    <w:p>
      <w:pPr>
        <w:pStyle w:val="Heading2"/>
        <w:spacing w:after="120" w:before="280"/>
      </w:pPr>
      <w:r>
        <w:rPr>
          <w:rFonts w:ascii="Arial" w:cs="Arial" w:eastAsia="Arial" w:hAnsi="Arial"/>
          <w:b/>
          <w:bCs/>
          <w:color w:val="0F6E56"/>
          <w:sz w:val="30"/>
          <w:szCs w:val="30"/>
        </w:rPr>
        <w:t xml:space="preserve">Revenue support</w:t>
      </w:r>
    </w:p>
    <w:p>
      <w:pPr>
        <w:pStyle w:val="ListParagraph"/>
        <w:numPr>
          <w:ilvl w:val="0"/>
          <w:numId w:val="2"/>
        </w:numPr>
        <w:spacing w:after="60" w:before="60"/>
      </w:pPr>
      <w:r>
        <w:rPr>
          <w:rFonts w:ascii="Arial" w:cs="Arial" w:eastAsia="Arial" w:hAnsi="Arial"/>
          <w:color w:val="222222"/>
          <w:sz w:val="22"/>
          <w:szCs w:val="22"/>
        </w:rPr>
        <w:t xml:space="preserve">Contracts for Difference — long-term power purchase agreements for nuclear and renewable generation</w:t>
      </w:r>
    </w:p>
    <w:p>
      <w:pPr>
        <w:pStyle w:val="ListParagraph"/>
        <w:numPr>
          <w:ilvl w:val="0"/>
          <w:numId w:val="2"/>
        </w:numPr>
        <w:spacing w:after="60" w:before="60"/>
      </w:pPr>
      <w:r>
        <w:rPr>
          <w:rFonts w:ascii="Arial" w:cs="Arial" w:eastAsia="Arial" w:hAnsi="Arial"/>
          <w:color w:val="222222"/>
          <w:sz w:val="22"/>
          <w:szCs w:val="22"/>
        </w:rPr>
        <w:t xml:space="preserve">Capacity Market — payments for grid backup generation capability</w:t>
      </w:r>
    </w:p>
    <w:p>
      <w:pPr>
        <w:pStyle w:val="ListParagraph"/>
        <w:numPr>
          <w:ilvl w:val="0"/>
          <w:numId w:val="2"/>
        </w:numPr>
        <w:spacing w:after="60" w:before="60"/>
      </w:pPr>
      <w:r>
        <w:rPr>
          <w:rFonts w:ascii="Arial" w:cs="Arial" w:eastAsia="Arial" w:hAnsi="Arial"/>
          <w:color w:val="222222"/>
          <w:sz w:val="22"/>
          <w:szCs w:val="22"/>
        </w:rPr>
        <w:t xml:space="preserve">Renewable Heat Incentive — payments for renewable heat generation</w:t>
      </w:r>
    </w:p>
    <w:p>
      <w:pPr>
        <w:pStyle w:val="ListParagraph"/>
        <w:numPr>
          <w:ilvl w:val="0"/>
          <w:numId w:val="2"/>
        </w:numPr>
        <w:spacing w:after="60" w:before="60"/>
      </w:pPr>
      <w:r>
        <w:rPr>
          <w:rFonts w:ascii="Arial" w:cs="Arial" w:eastAsia="Arial" w:hAnsi="Arial"/>
          <w:color w:val="222222"/>
          <w:sz w:val="22"/>
          <w:szCs w:val="22"/>
        </w:rPr>
        <w:t xml:space="preserve">Carbon credits — verified emissions reduction certificates</w:t>
      </w:r>
    </w:p>
    <w:p>
      <w:pPr>
        <w:pStyle w:val="ListParagraph"/>
        <w:numPr>
          <w:ilvl w:val="0"/>
          <w:numId w:val="2"/>
        </w:numPr>
        <w:spacing w:after="60" w:before="60"/>
      </w:pPr>
      <w:r>
        <w:rPr>
          <w:rFonts w:ascii="Arial" w:cs="Arial" w:eastAsia="Arial" w:hAnsi="Arial"/>
          <w:color w:val="222222"/>
          <w:sz w:val="22"/>
          <w:szCs w:val="22"/>
        </w:rPr>
        <w:t xml:space="preserve">Gate fees — waste processing payments from councils avoiding landfill costs</w:t>
      </w:r>
    </w:p>
    <w:p>
      <w:r>
        <w:br w:type="page"/>
      </w:r>
    </w:p>
    <w:p>
      <w:pPr>
        <w:pStyle w:val="Heading1"/>
        <w:spacing w:after="160" w:before="400"/>
      </w:pPr>
      <w:r>
        <w:rPr>
          <w:rFonts w:ascii="Arial" w:cs="Arial" w:eastAsia="Arial" w:hAnsi="Arial"/>
          <w:b/>
          <w:bCs/>
          <w:color w:val="1B3A5C"/>
          <w:sz w:val="40"/>
          <w:szCs w:val="40"/>
        </w:rPr>
        <w:t xml:space="preserve">Part Ten: Technology Partners</w:t>
      </w:r>
    </w:p>
    <w:p>
      <w:pPr>
        <w:pBdr>
          <w:bottom w:val="single" w:color="1B3A5C" w:sz="6" w:space="1"/>
        </w:pBdr>
        <w:spacing w:after="200" w:before="200"/>
      </w:pPr>
      <w:r>
        <w:t xml:space="preserve"/>
      </w:r>
    </w:p>
    <w:p>
      <w:pPr>
        <w:pStyle w:val="Heading2"/>
        <w:spacing w:after="120" w:before="280"/>
      </w:pPr>
      <w:r>
        <w:rPr>
          <w:rFonts w:ascii="Arial" w:cs="Arial" w:eastAsia="Arial" w:hAnsi="Arial"/>
          <w:b/>
          <w:bCs/>
          <w:color w:val="0F6E56"/>
          <w:sz w:val="30"/>
          <w:szCs w:val="30"/>
        </w:rPr>
        <w:t xml:space="preserve">MPPU biomass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4500"/>
        <w:gridCol w:w="3060"/>
      </w:tblGrid>
      <w:tr>
        <w:tc>
          <w:tcPr>
            <w:tcW w:type="dxa" w:w="1800"/>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Technology</w:t>
            </w:r>
          </w:p>
        </w:tc>
        <w:tc>
          <w:tcPr>
            <w:tcW w:type="dxa" w:w="4500"/>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Supplier examples</w:t>
            </w:r>
          </w:p>
        </w:tc>
        <w:tc>
          <w:tcPr>
            <w:tcW w:type="dxa" w:w="3060"/>
            <w:tcBorders>
              <w:top w:val="single" w:color="CCCCCC" w:sz="1"/>
              <w:left w:val="single" w:color="CCCCCC" w:sz="1"/>
              <w:bottom w:val="single" w:color="CCCCCC" w:sz="1"/>
              <w:right w:val="single" w:color="CCCCCC" w:sz="1"/>
            </w:tcBorders>
            <w:shd w:fill="0F6E56" w:val="clear"/>
            <w:tcMar>
              <w:top w:type="dxa" w:w="100"/>
              <w:left w:type="dxa" w:w="140"/>
              <w:bottom w:type="dxa" w:w="100"/>
              <w:right w:type="dxa" w:w="140"/>
            </w:tcMar>
          </w:tcPr>
          <w:p>
            <w:r>
              <w:rPr>
                <w:rFonts w:ascii="Arial" w:cs="Arial" w:eastAsia="Arial" w:hAnsi="Arial"/>
                <w:b/>
                <w:bCs/>
                <w:color w:val="FFFFFF"/>
                <w:sz w:val="20"/>
                <w:szCs w:val="20"/>
              </w:rPr>
              <w:t xml:space="preserve">Role</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Biomass gasification</w:t>
            </w:r>
          </w:p>
        </w:tc>
        <w:tc>
          <w:tcPr>
            <w:tcW w:type="dxa" w:w="4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ALL Power Labs (USA) · Ankur Scientific (India) · Burkhardt GmbH (Germany)</w:t>
            </w:r>
          </w:p>
        </w:tc>
        <w:tc>
          <w:tcPr>
            <w:tcW w:type="dxa" w:w="30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Wood waste to syngas to electricity</w:t>
            </w:r>
          </w:p>
        </w:tc>
      </w:tr>
      <w:tr>
        <w:tc>
          <w:tcPr>
            <w:tcW w:type="dxa" w:w="18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Biogas CHP</w:t>
            </w:r>
          </w:p>
        </w:tc>
        <w:tc>
          <w:tcPr>
            <w:tcW w:type="dxa" w:w="45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2G Energy (Germany) · Clarke Energy (Jenbacher) · Capstone (USA)</w:t>
            </w:r>
          </w:p>
        </w:tc>
        <w:tc>
          <w:tcPr>
            <w:tcW w:type="dxa" w:w="306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Food waste methane to electricity + heat</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Battery storage</w:t>
            </w:r>
          </w:p>
        </w:tc>
        <w:tc>
          <w:tcPr>
            <w:tcW w:type="dxa" w:w="4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Tesla Megapack · BYD Energy Storage · Sonnen / Eaton</w:t>
            </w:r>
          </w:p>
        </w:tc>
        <w:tc>
          <w:tcPr>
            <w:tcW w:type="dxa" w:w="30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Grid-scale and community storage</w:t>
            </w:r>
          </w:p>
        </w:tc>
      </w:tr>
      <w:tr>
        <w:tc>
          <w:tcPr>
            <w:tcW w:type="dxa" w:w="18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Microgrid control</w:t>
            </w:r>
          </w:p>
        </w:tc>
        <w:tc>
          <w:tcPr>
            <w:tcW w:type="dxa" w:w="45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Pika Energy · GridBeyond · OpenEMS (open source)</w:t>
            </w:r>
          </w:p>
        </w:tc>
        <w:tc>
          <w:tcPr>
            <w:tcW w:type="dxa" w:w="306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Demand response and grid services</w:t>
            </w:r>
          </w:p>
        </w:tc>
      </w:tr>
    </w:tbl>
    <w:p>
      <w:pPr>
        <w:spacing w:after="0" w:before="80"/>
      </w:pPr>
      <w:r>
        <w:t xml:space="preserve"/>
      </w:r>
    </w:p>
    <w:p>
      <w:pPr>
        <w:pStyle w:val="Heading2"/>
        <w:spacing w:after="120" w:before="280"/>
      </w:pPr>
      <w:r>
        <w:rPr>
          <w:rFonts w:ascii="Arial" w:cs="Arial" w:eastAsia="Arial" w:hAnsi="Arial"/>
          <w:b/>
          <w:bCs/>
          <w:color w:val="0F6E56"/>
          <w:sz w:val="30"/>
          <w:szCs w:val="30"/>
        </w:rPr>
        <w:t xml:space="preserve">MPPU-N nuclear system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4500"/>
        <w:gridCol w:w="3060"/>
      </w:tblGrid>
      <w:tr>
        <w:tc>
          <w:tcPr>
            <w:tcW w:type="dxa" w:w="180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Technology</w:t>
            </w:r>
          </w:p>
        </w:tc>
        <w:tc>
          <w:tcPr>
            <w:tcW w:type="dxa" w:w="450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Supplier examples</w:t>
            </w:r>
          </w:p>
        </w:tc>
        <w:tc>
          <w:tcPr>
            <w:tcW w:type="dxa" w:w="306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tcPr>
          <w:p>
            <w:r>
              <w:rPr>
                <w:rFonts w:ascii="Arial" w:cs="Arial" w:eastAsia="Arial" w:hAnsi="Arial"/>
                <w:b/>
                <w:bCs/>
                <w:color w:val="FFFFFF"/>
                <w:sz w:val="20"/>
                <w:szCs w:val="20"/>
              </w:rPr>
              <w:t xml:space="preserve">Role</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Microreactor (Tier 2)</w:t>
            </w:r>
          </w:p>
        </w:tc>
        <w:tc>
          <w:tcPr>
            <w:tcW w:type="dxa" w:w="4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Rolls-Royce SMR (UK) · Urenco U-Battery (UK/NL) · Last Energy (USA)</w:t>
            </w:r>
          </w:p>
        </w:tc>
        <w:tc>
          <w:tcPr>
            <w:tcW w:type="dxa" w:w="30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HALEU-fuelled deployable baseload</w:t>
            </w:r>
          </w:p>
        </w:tc>
      </w:tr>
      <w:tr>
        <w:tc>
          <w:tcPr>
            <w:tcW w:type="dxa" w:w="18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Advanced SMR</w:t>
            </w:r>
          </w:p>
        </w:tc>
        <w:tc>
          <w:tcPr>
            <w:tcW w:type="dxa" w:w="45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Terrestrial Energy (Canada) · X-energy (USA)</w:t>
            </w:r>
          </w:p>
        </w:tc>
        <w:tc>
          <w:tcPr>
            <w:tcW w:type="dxa" w:w="306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Molten salt and pebble bed designs</w:t>
            </w:r>
          </w:p>
        </w:tc>
      </w:tr>
      <w:tr>
        <w:tc>
          <w:tcPr>
            <w:tcW w:type="dxa" w:w="18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HALEU production</w:t>
            </w:r>
          </w:p>
        </w:tc>
        <w:tc>
          <w:tcPr>
            <w:tcW w:type="dxa" w:w="4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Urenco Capenhurst (UK) · Centrus (USA)</w:t>
            </w:r>
          </w:p>
        </w:tc>
        <w:tc>
          <w:tcPr>
            <w:tcW w:type="dxa" w:w="306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tcPr>
          <w:p>
            <w:r>
              <w:rPr>
                <w:rFonts w:ascii="Arial" w:cs="Arial" w:eastAsia="Arial" w:hAnsi="Arial"/>
                <w:b w:val="false"/>
                <w:bCs w:val="false"/>
                <w:color w:val="222222"/>
                <w:sz w:val="20"/>
                <w:szCs w:val="20"/>
              </w:rPr>
              <w:t xml:space="preserve">Weapons HEU downblending to HALEU fuel</w:t>
            </w:r>
          </w:p>
        </w:tc>
      </w:tr>
      <w:tr>
        <w:tc>
          <w:tcPr>
            <w:tcW w:type="dxa" w:w="18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Weapons processing</w:t>
            </w:r>
          </w:p>
        </w:tc>
        <w:tc>
          <w:tcPr>
            <w:tcW w:type="dxa" w:w="450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AWE Aldermaston · IAEA-supervised facilities</w:t>
            </w:r>
          </w:p>
        </w:tc>
        <w:tc>
          <w:tcPr>
            <w:tcW w:type="dxa" w:w="3060"/>
            <w:tcBorders>
              <w:top w:val="single" w:color="CCCCCC" w:sz="1"/>
              <w:left w:val="single" w:color="CCCCCC" w:sz="1"/>
              <w:bottom w:val="single" w:color="CCCCCC" w:sz="1"/>
              <w:right w:val="single" w:color="CCCCCC" w:sz="1"/>
            </w:tcBorders>
            <w:shd w:fill="F5F7FA" w:val="clear"/>
            <w:tcMar>
              <w:top w:type="dxa" w:w="100"/>
              <w:left w:type="dxa" w:w="140"/>
              <w:bottom w:type="dxa" w:w="100"/>
              <w:right w:type="dxa" w:w="140"/>
            </w:tcMar>
          </w:tcPr>
          <w:p>
            <w:r>
              <w:rPr>
                <w:rFonts w:ascii="Arial" w:cs="Arial" w:eastAsia="Arial" w:hAnsi="Arial"/>
                <w:b w:val="false"/>
                <w:bCs w:val="false"/>
                <w:color w:val="222222"/>
                <w:sz w:val="20"/>
                <w:szCs w:val="20"/>
              </w:rPr>
              <w:t xml:space="preserve">HEU intake and initial processing</w:t>
            </w:r>
          </w:p>
        </w:tc>
      </w:tr>
    </w:tbl>
    <w:p>
      <w:pPr>
        <w:spacing w:after="0" w:before="80"/>
      </w:pPr>
      <w:r>
        <w:t xml:space="preserve"/>
      </w:r>
    </w:p>
    <w:p>
      <w:pPr>
        <w:pStyle w:val="Heading2"/>
        <w:spacing w:after="120" w:before="280"/>
      </w:pPr>
      <w:r>
        <w:rPr>
          <w:rFonts w:ascii="Arial" w:cs="Arial" w:eastAsia="Arial" w:hAnsi="Arial"/>
          <w:b/>
          <w:bCs/>
          <w:color w:val="0F6E56"/>
          <w:sz w:val="30"/>
          <w:szCs w:val="30"/>
        </w:rPr>
        <w:t xml:space="preserve">Regulatory and treaty framework</w:t>
      </w:r>
    </w:p>
    <w:p>
      <w:pPr>
        <w:pStyle w:val="ListParagraph"/>
        <w:numPr>
          <w:ilvl w:val="0"/>
          <w:numId w:val="2"/>
        </w:numPr>
        <w:spacing w:after="60" w:before="60"/>
      </w:pPr>
      <w:r>
        <w:rPr>
          <w:rFonts w:ascii="Arial" w:cs="Arial" w:eastAsia="Arial" w:hAnsi="Arial"/>
          <w:color w:val="222222"/>
          <w:sz w:val="22"/>
          <w:szCs w:val="22"/>
        </w:rPr>
        <w:t xml:space="preserve">UK Office for Nuclear Regulation (ONR) — reactor licensing and site permitting</w:t>
      </w:r>
    </w:p>
    <w:p>
      <w:pPr>
        <w:pStyle w:val="ListParagraph"/>
        <w:numPr>
          <w:ilvl w:val="0"/>
          <w:numId w:val="2"/>
        </w:numPr>
        <w:spacing w:after="60" w:before="60"/>
      </w:pPr>
      <w:r>
        <w:rPr>
          <w:rFonts w:ascii="Arial" w:cs="Arial" w:eastAsia="Arial" w:hAnsi="Arial"/>
          <w:color w:val="222222"/>
          <w:sz w:val="22"/>
          <w:szCs w:val="22"/>
        </w:rPr>
        <w:t xml:space="preserve">Environment Agency — environmental permitting for nuclear sites</w:t>
      </w:r>
    </w:p>
    <w:p>
      <w:pPr>
        <w:pStyle w:val="ListParagraph"/>
        <w:numPr>
          <w:ilvl w:val="0"/>
          <w:numId w:val="2"/>
        </w:numPr>
        <w:spacing w:after="60" w:before="60"/>
      </w:pPr>
      <w:r>
        <w:rPr>
          <w:rFonts w:ascii="Arial" w:cs="Arial" w:eastAsia="Arial" w:hAnsi="Arial"/>
          <w:color w:val="222222"/>
          <w:sz w:val="22"/>
          <w:szCs w:val="22"/>
        </w:rPr>
        <w:t xml:space="preserve">Nuclear Decommissioning Authority — existing expertise in nuclear material disposition</w:t>
      </w:r>
    </w:p>
    <w:p>
      <w:pPr>
        <w:pStyle w:val="ListParagraph"/>
        <w:numPr>
          <w:ilvl w:val="0"/>
          <w:numId w:val="2"/>
        </w:numPr>
        <w:spacing w:after="60" w:before="60"/>
      </w:pPr>
      <w:r>
        <w:rPr>
          <w:rFonts w:ascii="Arial" w:cs="Arial" w:eastAsia="Arial" w:hAnsi="Arial"/>
          <w:color w:val="222222"/>
          <w:sz w:val="22"/>
          <w:szCs w:val="22"/>
        </w:rPr>
        <w:t xml:space="preserve">UN Treaty on Non-Proliferation (NPT) — the legal framework that makes conversion possible</w:t>
      </w:r>
    </w:p>
    <w:p>
      <w:pPr>
        <w:pStyle w:val="ListParagraph"/>
        <w:numPr>
          <w:ilvl w:val="0"/>
          <w:numId w:val="2"/>
        </w:numPr>
        <w:spacing w:after="60" w:before="60"/>
      </w:pPr>
      <w:r>
        <w:rPr>
          <w:rFonts w:ascii="Arial" w:cs="Arial" w:eastAsia="Arial" w:hAnsi="Arial"/>
          <w:color w:val="222222"/>
          <w:sz w:val="22"/>
          <w:szCs w:val="22"/>
        </w:rPr>
        <w:t xml:space="preserve">IAEA Safeguards — international verification that weapons material is being converted, not diverted</w:t>
      </w:r>
    </w:p>
    <w:p>
      <w:r>
        <w:br w:type="page"/>
      </w:r>
    </w:p>
    <w:p>
      <w:pPr>
        <w:pStyle w:val="Heading1"/>
        <w:spacing w:after="160" w:before="400"/>
      </w:pPr>
      <w:r>
        <w:rPr>
          <w:rFonts w:ascii="Arial" w:cs="Arial" w:eastAsia="Arial" w:hAnsi="Arial"/>
          <w:b/>
          <w:bCs/>
          <w:color w:val="1B3A5C"/>
          <w:sz w:val="40"/>
          <w:szCs w:val="40"/>
        </w:rPr>
        <w:t xml:space="preserve">Final: The Philosophy</w:t>
      </w:r>
    </w:p>
    <w:p>
      <w:pPr>
        <w:pBdr>
          <w:bottom w:val="single" w:color="1B3A5C" w:sz="6" w:space="1"/>
        </w:pBdr>
        <w:spacing w:after="200" w:before="200"/>
      </w:pPr>
      <w:r>
        <w:t xml:space="preserve"/>
      </w:r>
    </w:p>
    <w:p>
      <w:pPr>
        <w:spacing w:after="0" w:before="80"/>
      </w:pPr>
      <w:r>
        <w:t xml:space="preserve"/>
      </w:r>
    </w:p>
    <w:p>
      <w:pPr>
        <w:pStyle w:val="Heading2"/>
        <w:spacing w:after="120" w:before="280"/>
      </w:pPr>
      <w:r>
        <w:rPr>
          <w:rFonts w:ascii="Arial" w:cs="Arial" w:eastAsia="Arial" w:hAnsi="Arial"/>
          <w:b/>
          <w:bCs/>
          <w:color w:val="0F6E56"/>
          <w:sz w:val="30"/>
          <w:szCs w:val="30"/>
        </w:rPr>
        <w:t xml:space="preserve">Energy is community infrastructure</w:t>
      </w:r>
    </w:p>
    <w:p>
      <w:pPr>
        <w:spacing w:after="80" w:before="80"/>
      </w:pPr>
      <w:r>
        <w:rPr>
          <w:rFonts w:ascii="Arial" w:cs="Arial" w:eastAsia="Arial" w:hAnsi="Arial"/>
          <w:color w:val="222222"/>
          <w:sz w:val="22"/>
          <w:szCs w:val="22"/>
        </w:rPr>
        <w:t xml:space="preserve">Energy generation has been centralised for so long that communities have forgotten they can own their own power supply. The MPPU is a reminder: the resources are local, the demand is local, the power should be local. Communities that generate their own power are fundamentally more resilient, more economically secure, and more politically autonomous than communities dependent on distant generation and long transmission lines.</w:t>
      </w:r>
    </w:p>
    <w:p>
      <w:pPr>
        <w:spacing w:after="0" w:before="80"/>
      </w:pPr>
      <w:r>
        <w:t xml:space="preserve"/>
      </w:r>
    </w:p>
    <w:p>
      <w:pPr>
        <w:pStyle w:val="Heading2"/>
        <w:spacing w:after="120" w:before="280"/>
      </w:pPr>
      <w:r>
        <w:rPr>
          <w:rFonts w:ascii="Arial" w:cs="Arial" w:eastAsia="Arial" w:hAnsi="Arial"/>
          <w:b/>
          <w:bCs/>
          <w:color w:val="0F6E56"/>
          <w:sz w:val="30"/>
          <w:szCs w:val="30"/>
        </w:rPr>
        <w:t xml:space="preserve">Waste is not waste. It is fuel.</w:t>
      </w:r>
    </w:p>
    <w:p>
      <w:pPr>
        <w:spacing w:after="80" w:before="80"/>
      </w:pPr>
      <w:r>
        <w:rPr>
          <w:rFonts w:ascii="Arial" w:cs="Arial" w:eastAsia="Arial" w:hAnsi="Arial"/>
          <w:color w:val="222222"/>
          <w:sz w:val="22"/>
          <w:szCs w:val="22"/>
        </w:rPr>
        <w:t xml:space="preserve">The distinction between waste and resource is purely a question of having the right technology in the right place. Every tonne of wood waste going to landfill is a tonne of fuel going to waste. The MPPU is the technology. The community is the place.</w:t>
      </w:r>
    </w:p>
    <w:p>
      <w:pPr>
        <w:spacing w:after="0" w:before="80"/>
      </w:pPr>
      <w:r>
        <w:t xml:space="preserve"/>
      </w:r>
    </w:p>
    <w:p>
      <w:pPr>
        <w:pStyle w:val="Heading2"/>
        <w:spacing w:after="120" w:before="280"/>
      </w:pPr>
      <w:r>
        <w:rPr>
          <w:rFonts w:ascii="Arial" w:cs="Arial" w:eastAsia="Arial" w:hAnsi="Arial"/>
          <w:b/>
          <w:bCs/>
          <w:color w:val="0F6E56"/>
          <w:sz w:val="30"/>
          <w:szCs w:val="30"/>
        </w:rPr>
        <w:t xml:space="preserve">Energy independence is economic justice</w:t>
      </w:r>
    </w:p>
    <w:p>
      <w:pPr>
        <w:spacing w:after="80" w:before="80"/>
      </w:pPr>
      <w:r>
        <w:rPr>
          <w:rFonts w:ascii="Arial" w:cs="Arial" w:eastAsia="Arial" w:hAnsi="Arial"/>
          <w:color w:val="222222"/>
          <w:sz w:val="22"/>
          <w:szCs w:val="22"/>
        </w:rPr>
        <w:t xml:space="preserve">The transition to clean energy must not repeat the extraction model of fossil fuels, where resources and revenue flow from communities to distant corporations. Community-owned distributed generation keeps the value local. Not just clean energy. Just energy.</w:t>
      </w:r>
    </w:p>
    <w:p>
      <w:pPr>
        <w:spacing w:after="0" w:before="80"/>
      </w:pPr>
      <w:r>
        <w:t xml:space="preserve"/>
      </w:r>
    </w:p>
    <w:p>
      <w:pPr>
        <w:pStyle w:val="Heading2"/>
        <w:spacing w:after="120" w:before="280"/>
      </w:pPr>
      <w:r>
        <w:rPr>
          <w:rFonts w:ascii="Arial" w:cs="Arial" w:eastAsia="Arial" w:hAnsi="Arial"/>
          <w:b/>
          <w:bCs/>
          <w:color w:val="0F6E56"/>
          <w:sz w:val="30"/>
          <w:szCs w:val="30"/>
        </w:rPr>
        <w:t xml:space="preserve">The weapons that threatened the world should power the people most at risk from them</w:t>
      </w:r>
    </w:p>
    <w:p>
      <w:pPr>
        <w:spacing w:after="80" w:before="80"/>
      </w:pPr>
      <w:r>
        <w:rPr>
          <w:rFonts w:ascii="Arial" w:cs="Arial" w:eastAsia="Arial" w:hAnsi="Arial"/>
          <w:color w:val="222222"/>
          <w:sz w:val="22"/>
          <w:szCs w:val="22"/>
        </w:rPr>
        <w:t xml:space="preserve">The Megatons to Megawatts programme showed that it can be done at scale. The physics is clear. The chemistry works. The economics are sound. The only question is whether the political will exists to convert the most destructive legacy in human history into the most constructive energy infrastructure the world has ever built.</w:t>
      </w:r>
    </w:p>
    <w:p>
      <w:pPr>
        <w:spacing w:after="80" w:before="80"/>
      </w:pPr>
      <w:r>
        <w:rPr>
          <w:rFonts w:ascii="Arial" w:cs="Arial" w:eastAsia="Arial" w:hAnsi="Arial"/>
          <w:color w:val="222222"/>
          <w:sz w:val="22"/>
          <w:szCs w:val="22"/>
        </w:rPr>
        <w:t xml:space="preserve">North Liverpool is the proof of concept. A community that took a dumping ground and turned it into a power plant. A community that looked at the waste and saw the fuel. A community willing to demonstrate that the warhead can become the watt.</w:t>
      </w:r>
    </w:p>
    <w:p>
      <w:pPr>
        <w:spacing w:after="0" w:before="120"/>
      </w:pPr>
      <w:r>
        <w:t xml:space="preserve"/>
      </w:r>
    </w:p>
    <w:p>
      <w:pPr>
        <w:pBdr>
          <w:bottom w:val="single" w:color="1B3A5C" w:sz="6" w:space="1"/>
        </w:pBdr>
        <w:spacing w:after="200" w:before="200"/>
      </w:pPr>
      <w:r>
        <w:t xml:space="preserve"/>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0EBF8" w:val="clear"/>
            <w:tcMar>
              <w:top w:type="dxa" w:w="200"/>
              <w:left w:type="dxa" w:w="280"/>
              <w:bottom w:type="dxa" w:w="200"/>
              <w:right w:type="dxa" w:w="280"/>
            </w:tcMar>
          </w:tcPr>
          <w:p>
            <w:r>
              <w:rPr>
                <w:rFonts w:ascii="Arial" w:cs="Arial" w:eastAsia="Arial" w:hAnsi="Arial"/>
                <w:b/>
                <w:bCs/>
                <w:i/>
                <w:iCs/>
                <w:color w:val="1B3A5C"/>
                <w:sz w:val="26"/>
                <w:szCs w:val="26"/>
              </w:rPr>
              <w:t xml:space="preserve">Inanimate objects of war — repurposed to serve the people.
Not people repurposed to serve the system.
The resources came from communities. The power stays in communities. The weapons become the watts. The waste becomes the watts. The grid — decentralised. The revenue — local. The power — returned.</w:t>
            </w:r>
          </w:p>
        </w:tc>
      </w:tr>
    </w:tbl>
    <w:p>
      <w:pPr>
        <w:spacing w:after="0" w:before="120"/>
      </w:pPr>
      <w:r>
        <w:t xml:space="preserve"/>
      </w:r>
    </w:p>
    <w:p>
      <w:pPr>
        <w:spacing w:after="60" w:before="0"/>
        <w:jc w:val="center"/>
      </w:pPr>
      <w:r>
        <w:rPr>
          <w:rFonts w:ascii="Arial" w:cs="Arial" w:eastAsia="Arial" w:hAnsi="Arial"/>
          <w:b/>
          <w:bCs/>
          <w:color w:val="1B3A5C"/>
          <w:sz w:val="32"/>
          <w:szCs w:val="32"/>
        </w:rPr>
        <w:t xml:space="preserve">Not just clean energy.</w:t>
      </w:r>
    </w:p>
    <w:p>
      <w:pPr>
        <w:spacing w:after="60" w:before="0"/>
        <w:jc w:val="center"/>
      </w:pPr>
      <w:r>
        <w:rPr>
          <w:rFonts w:ascii="Arial" w:cs="Arial" w:eastAsia="Arial" w:hAnsi="Arial"/>
          <w:b/>
          <w:bCs/>
          <w:color w:val="0F6E56"/>
          <w:sz w:val="32"/>
          <w:szCs w:val="32"/>
        </w:rPr>
        <w:t xml:space="preserve">Disarmed energy.</w:t>
      </w:r>
    </w:p>
    <w:p>
      <w:pPr>
        <w:spacing w:after="60" w:before="0"/>
        <w:jc w:val="center"/>
      </w:pPr>
      <w:r>
        <w:rPr>
          <w:rFonts w:ascii="Arial" w:cs="Arial" w:eastAsia="Arial" w:hAnsi="Arial"/>
          <w:b/>
          <w:bCs/>
          <w:color w:val="2E4057"/>
          <w:sz w:val="32"/>
          <w:szCs w:val="32"/>
        </w:rPr>
        <w:t xml:space="preserve">Community energy.</w:t>
      </w:r>
    </w:p>
    <w:p>
      <w:pPr>
        <w:spacing w:after="0" w:before="160"/>
      </w:pPr>
      <w:r>
        <w:t xml:space="preserve"/>
      </w:r>
    </w:p>
    <w:p>
      <w:pPr>
        <w:jc w:val="center"/>
      </w:pPr>
      <w:r>
        <w:rPr>
          <w:rFonts w:ascii="Arial" w:cs="Arial" w:eastAsia="Arial" w:hAnsi="Arial"/>
          <w:color w:val="888888"/>
          <w:sz w:val="18"/>
          <w:szCs w:val="18"/>
        </w:rPr>
        <w:t xml:space="preserve">© 2026 David Joseph Moylan · North Liverpool, England · Original MSRU conception: 16th March 2026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5C" w:sz="4" w:space="4"/>
      </w:pBdr>
      <w:spacing w:before="120"/>
    </w:pPr>
    <w:r>
      <w:rPr>
        <w:rFonts w:ascii="Arial" w:cs="Arial" w:eastAsia="Arial" w:hAnsi="Arial"/>
        <w:color w:val="888888"/>
        <w:sz w:val="16"/>
        <w:szCs w:val="16"/>
      </w:rPr>
      <w:t xml:space="preserve">Project Briefing: MSRU — MPPU — MPPU-N  |  David Joseph Moylan  |  North Liverpool  |  May 2026  |  Inanimate objects of war — repurposed to serve the people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B3A5C"/>
      <w:sz w:val="40"/>
      <w:szCs w:val="40"/>
    </w:rPr>
  </w:style>
  <w:style w:type="paragraph" w:styleId="Heading2">
    <w:name w:val="Heading 2"/>
    <w:basedOn w:val="Normal"/>
    <w:next w:val="Normal"/>
    <w:qFormat/>
    <w:pPr>
      <w:spacing w:after="120" w:before="280"/>
      <w:outlineLvl w:val="1"/>
    </w:pPr>
    <w:rPr>
      <w:rFonts w:ascii="Arial" w:cs="Arial" w:eastAsia="Arial" w:hAnsi="Arial"/>
      <w:b/>
      <w:bCs/>
      <w:color w:val="0F6E56"/>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2026-05-16T11:14:10.254Z</dcterms:created>
  <dcterms:modified xsi:type="dcterms:W3CDTF">2026-05-16T11:14:10.267Z</dcterms:modified>
</cp:coreProperties>
</file>

<file path=docProps/custom.xml><?xml version="1.0" encoding="utf-8"?>
<Properties xmlns="http://schemas.openxmlformats.org/officeDocument/2006/custom-properties" xmlns:vt="http://schemas.openxmlformats.org/officeDocument/2006/docPropsVTypes"/>
</file>